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E6" w:rsidRPr="002B37D4" w:rsidRDefault="003877E6" w:rsidP="003877E6">
      <w:pPr>
        <w:spacing w:after="345" w:line="259" w:lineRule="auto"/>
        <w:ind w:left="3689" w:firstLine="0"/>
        <w:rPr>
          <w:rFonts w:ascii="Arial Narrow" w:hAnsi="Arial Narrow"/>
          <w:sz w:val="22"/>
        </w:rPr>
      </w:pPr>
      <w:r w:rsidRPr="002B37D4">
        <w:rPr>
          <w:rFonts w:ascii="Arial Narrow" w:hAnsi="Arial Narrow"/>
          <w:noProof/>
          <w:sz w:val="22"/>
          <w:lang w:val="es-SV" w:eastAsia="es-SV"/>
        </w:rPr>
        <w:drawing>
          <wp:inline distT="0" distB="0" distL="0" distR="0" wp14:anchorId="7AE9616F" wp14:editId="664BEA9D">
            <wp:extent cx="606481" cy="792480"/>
            <wp:effectExtent l="0" t="0" r="3175" b="7620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50" cy="80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E6" w:rsidRPr="002B37D4" w:rsidRDefault="003877E6" w:rsidP="003877E6">
      <w:pPr>
        <w:spacing w:after="814" w:line="259" w:lineRule="auto"/>
        <w:ind w:left="987" w:firstLine="0"/>
        <w:contextualSpacing/>
        <w:jc w:val="left"/>
        <w:rPr>
          <w:rFonts w:ascii="Arial Narrow" w:hAnsi="Arial Narrow"/>
          <w:b/>
          <w:sz w:val="22"/>
          <w:lang w:val="es-SV"/>
        </w:rPr>
      </w:pPr>
      <w:r w:rsidRPr="002B37D4">
        <w:rPr>
          <w:rFonts w:ascii="Arial Narrow" w:hAnsi="Arial Narrow"/>
          <w:b/>
          <w:sz w:val="22"/>
          <w:lang w:val="es-SV"/>
        </w:rPr>
        <w:t>PROCURADURÍA PARA LA DEFENSA DE LOS DERECHOS HUMANOS</w:t>
      </w:r>
    </w:p>
    <w:p w:rsidR="003877E6" w:rsidRPr="002B37D4" w:rsidRDefault="003877E6" w:rsidP="003877E6">
      <w:pPr>
        <w:spacing w:after="814" w:line="259" w:lineRule="auto"/>
        <w:ind w:left="987" w:firstLine="0"/>
        <w:rPr>
          <w:rFonts w:ascii="Arial Narrow" w:hAnsi="Arial Narrow"/>
          <w:b/>
          <w:sz w:val="22"/>
          <w:lang w:val="es-SV"/>
        </w:rPr>
      </w:pPr>
      <w:r w:rsidRPr="002B37D4">
        <w:rPr>
          <w:rFonts w:ascii="Arial Narrow" w:hAnsi="Arial Narrow"/>
          <w:b/>
          <w:sz w:val="22"/>
          <w:lang w:val="es-SV"/>
        </w:rPr>
        <w:t xml:space="preserve">             UNIDAD DE ACCESO A LA INFORMACIÓN PÚBLICA</w:t>
      </w:r>
    </w:p>
    <w:p w:rsidR="003877E6" w:rsidRPr="002B37D4" w:rsidRDefault="0048604A" w:rsidP="003877E6">
      <w:pPr>
        <w:spacing w:after="814" w:line="259" w:lineRule="auto"/>
        <w:rPr>
          <w:rFonts w:ascii="Arial Narrow" w:hAnsi="Arial Narrow"/>
          <w:sz w:val="22"/>
          <w:lang w:val="es-SV"/>
        </w:rPr>
      </w:pPr>
      <w:r>
        <w:rPr>
          <w:rFonts w:ascii="Arial Narrow" w:hAnsi="Arial Narrow"/>
          <w:sz w:val="22"/>
          <w:lang w:val="es-SV"/>
        </w:rPr>
        <w:t xml:space="preserve">San Salvador, </w:t>
      </w:r>
      <w:r w:rsidR="00487690">
        <w:rPr>
          <w:rFonts w:ascii="Arial Narrow" w:hAnsi="Arial Narrow"/>
          <w:sz w:val="22"/>
          <w:lang w:val="es-SV"/>
        </w:rPr>
        <w:t>12 de mayo</w:t>
      </w:r>
      <w:r w:rsidR="00F71709">
        <w:rPr>
          <w:rFonts w:ascii="Arial Narrow" w:hAnsi="Arial Narrow"/>
          <w:sz w:val="22"/>
          <w:lang w:val="es-SV"/>
        </w:rPr>
        <w:t xml:space="preserve"> </w:t>
      </w:r>
      <w:r w:rsidR="003877E6" w:rsidRPr="002B37D4">
        <w:rPr>
          <w:rFonts w:ascii="Arial Narrow" w:hAnsi="Arial Narrow"/>
          <w:sz w:val="22"/>
          <w:lang w:val="es-SV"/>
        </w:rPr>
        <w:t>de 202</w:t>
      </w:r>
      <w:r>
        <w:rPr>
          <w:rFonts w:ascii="Arial Narrow" w:hAnsi="Arial Narrow"/>
          <w:sz w:val="22"/>
          <w:lang w:val="es-SV"/>
        </w:rPr>
        <w:t>2</w:t>
      </w:r>
      <w:r w:rsidR="00A42461" w:rsidRPr="002B37D4">
        <w:rPr>
          <w:rFonts w:ascii="Arial Narrow" w:hAnsi="Arial Narrow"/>
          <w:sz w:val="22"/>
          <w:lang w:val="es-SV"/>
        </w:rPr>
        <w:t>.</w:t>
      </w:r>
    </w:p>
    <w:p w:rsidR="003877E6" w:rsidRPr="002B37D4" w:rsidRDefault="003877E6" w:rsidP="003877E6">
      <w:pPr>
        <w:pStyle w:val="Prrafodelista"/>
        <w:numPr>
          <w:ilvl w:val="0"/>
          <w:numId w:val="1"/>
        </w:numPr>
        <w:ind w:right="14"/>
        <w:rPr>
          <w:rFonts w:ascii="Arial Narrow" w:hAnsi="Arial Narrow"/>
          <w:sz w:val="22"/>
          <w:lang w:val="es-SV"/>
        </w:rPr>
      </w:pPr>
      <w:r w:rsidRPr="002B37D4">
        <w:rPr>
          <w:rFonts w:ascii="Arial Narrow" w:hAnsi="Arial Narrow"/>
          <w:sz w:val="22"/>
          <w:lang w:val="es-SV"/>
        </w:rPr>
        <w:t>El artículo 10 numeral 15 de la Ley de Acceso a la información Pública (en adelante LAIP) establece que los entes obligados deberán publicar las obras en ejecución o ejecutadas total o parcialmente con fondo públicos o con recursos provenientes de préstamos otorgados a cualquiera de las entidades del Estado, indicando la ubicación exacta, el costo total de la obra, la fuente de financiamiento, el tiempo de ejecución, número beneficiarios, empresa o entidad ejecutora y supervisora, nombre del funcionario responsable de la obra, contenido del contrato correspondiente y sus modificaciones, formas de pago, desembolsos y garantías.</w:t>
      </w:r>
    </w:p>
    <w:p w:rsidR="003877E6" w:rsidRPr="002B37D4" w:rsidRDefault="003877E6" w:rsidP="003877E6">
      <w:pPr>
        <w:pStyle w:val="Prrafodelista"/>
        <w:ind w:left="1080" w:right="14" w:firstLine="0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3877E6">
      <w:pPr>
        <w:pStyle w:val="Prrafodelista"/>
        <w:numPr>
          <w:ilvl w:val="0"/>
          <w:numId w:val="1"/>
        </w:numPr>
        <w:ind w:right="14"/>
        <w:rPr>
          <w:rFonts w:ascii="Arial Narrow" w:hAnsi="Arial Narrow"/>
          <w:sz w:val="22"/>
          <w:lang w:val="es-SV"/>
        </w:rPr>
      </w:pPr>
      <w:r w:rsidRPr="002B37D4">
        <w:rPr>
          <w:rFonts w:ascii="Arial Narrow" w:hAnsi="Arial Narrow"/>
          <w:sz w:val="22"/>
          <w:lang w:val="es-SV"/>
        </w:rPr>
        <w:t xml:space="preserve">A efecto de localizar la información enunciada en el párrafo precedente, se giró oficio a la Unidad de Adquisiciones y Contrataciones, en cuya respuesta se indicó que esta Institución </w:t>
      </w:r>
      <w:r w:rsidR="00A42461" w:rsidRPr="002B37D4">
        <w:rPr>
          <w:rFonts w:ascii="Arial Narrow" w:hAnsi="Arial Narrow"/>
          <w:sz w:val="22"/>
          <w:lang w:val="es-SV"/>
        </w:rPr>
        <w:t xml:space="preserve">no ha realizado ninguna contratación, adquisición u obra durante el mes de </w:t>
      </w:r>
      <w:r w:rsidR="00487690" w:rsidRPr="00487690">
        <w:rPr>
          <w:rFonts w:ascii="Arial Narrow" w:hAnsi="Arial Narrow"/>
          <w:b/>
          <w:sz w:val="22"/>
          <w:lang w:val="es-SV"/>
        </w:rPr>
        <w:t>Abril</w:t>
      </w:r>
      <w:r w:rsidR="00596FFA" w:rsidRPr="00487690">
        <w:rPr>
          <w:rFonts w:ascii="Arial Narrow" w:hAnsi="Arial Narrow"/>
          <w:b/>
          <w:sz w:val="22"/>
          <w:lang w:val="es-SV"/>
        </w:rPr>
        <w:t xml:space="preserve"> </w:t>
      </w:r>
      <w:r w:rsidR="00596FFA">
        <w:rPr>
          <w:rFonts w:ascii="Arial Narrow" w:hAnsi="Arial Narrow"/>
          <w:b/>
          <w:sz w:val="22"/>
          <w:lang w:val="es-SV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2B37D4" w:rsidRPr="002B37D4">
        <w:rPr>
          <w:rFonts w:ascii="Arial Narrow" w:hAnsi="Arial Narrow"/>
          <w:b/>
          <w:sz w:val="22"/>
          <w:lang w:val="es-SV"/>
        </w:rPr>
        <w:t xml:space="preserve"> </w:t>
      </w:r>
      <w:r w:rsidR="002B37D4">
        <w:rPr>
          <w:rFonts w:ascii="Arial Narrow" w:hAnsi="Arial Narrow"/>
          <w:b/>
          <w:sz w:val="22"/>
          <w:lang w:val="es-SV"/>
        </w:rPr>
        <w:t xml:space="preserve">del año dos mil </w:t>
      </w:r>
      <w:r w:rsidR="00D212F3">
        <w:rPr>
          <w:rFonts w:ascii="Arial Narrow" w:hAnsi="Arial Narrow"/>
          <w:b/>
          <w:sz w:val="22"/>
          <w:lang w:val="es-SV"/>
        </w:rPr>
        <w:t>veintidós</w:t>
      </w:r>
      <w:r w:rsidR="00A42461" w:rsidRPr="002B37D4">
        <w:rPr>
          <w:rFonts w:ascii="Arial Narrow" w:hAnsi="Arial Narrow"/>
          <w:b/>
          <w:sz w:val="22"/>
          <w:lang w:val="es-SV"/>
        </w:rPr>
        <w:t>,</w:t>
      </w:r>
      <w:r w:rsidR="00A42461" w:rsidRPr="002B37D4">
        <w:rPr>
          <w:rFonts w:ascii="Arial Narrow" w:hAnsi="Arial Narrow"/>
          <w:sz w:val="22"/>
          <w:lang w:val="es-SV"/>
        </w:rPr>
        <w:t xml:space="preserve"> en consecuencia dicha información para ese mes es inexistente.</w:t>
      </w:r>
    </w:p>
    <w:p w:rsidR="003877E6" w:rsidRPr="002B37D4" w:rsidRDefault="003877E6" w:rsidP="003877E6">
      <w:pPr>
        <w:pStyle w:val="Prrafodelista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3877E6">
      <w:pPr>
        <w:pStyle w:val="Prrafodelista"/>
        <w:numPr>
          <w:ilvl w:val="0"/>
          <w:numId w:val="1"/>
        </w:numPr>
        <w:ind w:right="14"/>
        <w:rPr>
          <w:rFonts w:ascii="Arial Narrow" w:hAnsi="Arial Narrow"/>
          <w:sz w:val="22"/>
          <w:lang w:val="es-SV"/>
        </w:rPr>
      </w:pPr>
      <w:r w:rsidRPr="002B37D4">
        <w:rPr>
          <w:rFonts w:ascii="Arial Narrow" w:hAnsi="Arial Narrow"/>
          <w:sz w:val="22"/>
          <w:lang w:val="es-SV"/>
        </w:rPr>
        <w:t xml:space="preserve"> En virtud de lo anterior, la Procuraduría para la Defensa de los Derechos Humanos no cuenta con información para publicar en este apartado, </w:t>
      </w:r>
      <w:r w:rsidR="001948B3" w:rsidRPr="002B37D4">
        <w:rPr>
          <w:rFonts w:ascii="Arial Narrow" w:hAnsi="Arial Narrow"/>
          <w:sz w:val="22"/>
          <w:lang w:val="es-SV"/>
        </w:rPr>
        <w:t>para el mes de</w:t>
      </w:r>
      <w:r w:rsidR="006E17D2">
        <w:rPr>
          <w:rFonts w:ascii="Arial Narrow" w:hAnsi="Arial Narrow"/>
          <w:sz w:val="22"/>
          <w:lang w:val="es-SV"/>
        </w:rPr>
        <w:t xml:space="preserve"> </w:t>
      </w:r>
      <w:r w:rsidR="00487690">
        <w:rPr>
          <w:rFonts w:ascii="Arial Narrow" w:hAnsi="Arial Narrow"/>
          <w:b/>
          <w:sz w:val="22"/>
          <w:lang w:val="es-SV"/>
        </w:rPr>
        <w:t>Abril</w:t>
      </w:r>
      <w:bookmarkStart w:id="0" w:name="_GoBack"/>
      <w:bookmarkEnd w:id="0"/>
      <w:r w:rsidR="00D212F3">
        <w:rPr>
          <w:rFonts w:ascii="Arial Narrow" w:hAnsi="Arial Narrow"/>
          <w:b/>
          <w:sz w:val="22"/>
          <w:lang w:val="es-SV"/>
        </w:rPr>
        <w:t xml:space="preserve"> 2022</w:t>
      </w:r>
      <w:r w:rsidRPr="002B37D4">
        <w:rPr>
          <w:rFonts w:ascii="Arial Narrow" w:hAnsi="Arial Narrow"/>
          <w:b/>
          <w:sz w:val="22"/>
          <w:lang w:val="es-SV"/>
        </w:rPr>
        <w:t>.</w:t>
      </w:r>
    </w:p>
    <w:p w:rsidR="003877E6" w:rsidRPr="002B37D4" w:rsidRDefault="003877E6" w:rsidP="003877E6">
      <w:pPr>
        <w:pStyle w:val="Prrafodelista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3877E6">
      <w:pPr>
        <w:pStyle w:val="Prrafodelista"/>
        <w:ind w:left="1080" w:right="14" w:firstLine="0"/>
        <w:rPr>
          <w:rFonts w:ascii="Arial Narrow" w:hAnsi="Arial Narrow"/>
          <w:sz w:val="22"/>
          <w:lang w:val="es-SV"/>
        </w:rPr>
      </w:pPr>
    </w:p>
    <w:p w:rsidR="003877E6" w:rsidRDefault="003877E6" w:rsidP="001948B3">
      <w:pPr>
        <w:pStyle w:val="Prrafodelista"/>
        <w:ind w:left="1080" w:right="14" w:firstLine="0"/>
        <w:jc w:val="center"/>
        <w:rPr>
          <w:rFonts w:ascii="Arial Narrow" w:hAnsi="Arial Narrow"/>
          <w:sz w:val="22"/>
          <w:lang w:val="es-SV"/>
        </w:rPr>
      </w:pPr>
    </w:p>
    <w:p w:rsidR="002B37D4" w:rsidRPr="002B37D4" w:rsidRDefault="002B37D4" w:rsidP="001948B3">
      <w:pPr>
        <w:pStyle w:val="Prrafodelista"/>
        <w:ind w:left="1080" w:right="14" w:firstLine="0"/>
        <w:jc w:val="center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1948B3">
      <w:pPr>
        <w:pStyle w:val="Prrafodelista"/>
        <w:ind w:left="1080" w:right="14" w:firstLine="0"/>
        <w:jc w:val="center"/>
        <w:rPr>
          <w:rFonts w:ascii="Arial Narrow" w:hAnsi="Arial Narrow"/>
          <w:sz w:val="22"/>
          <w:lang w:val="es-SV"/>
        </w:rPr>
      </w:pPr>
    </w:p>
    <w:p w:rsidR="008658E4" w:rsidRDefault="008658E4" w:rsidP="008658E4">
      <w:pPr>
        <w:pStyle w:val="Prrafodelista"/>
        <w:ind w:left="1080"/>
        <w:jc w:val="center"/>
        <w:rPr>
          <w:rFonts w:ascii="Cambria" w:hAnsi="Cambria"/>
          <w:color w:val="auto"/>
          <w:sz w:val="22"/>
          <w:lang w:val="es-SV"/>
        </w:rPr>
      </w:pPr>
      <w:r>
        <w:rPr>
          <w:rFonts w:ascii="Cambria" w:hAnsi="Cambria"/>
          <w:lang w:val="es-SV"/>
        </w:rPr>
        <w:t>Licda. Marta Roxana Muñoz de Aragón.</w:t>
      </w:r>
    </w:p>
    <w:p w:rsidR="008658E4" w:rsidRDefault="00842552" w:rsidP="008658E4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>
        <w:rPr>
          <w:rFonts w:ascii="Cambria" w:hAnsi="Cambria"/>
          <w:b/>
          <w:lang w:val="es-SV"/>
        </w:rPr>
        <w:t>Oficial de Información</w:t>
      </w:r>
      <w:r w:rsidR="008658E4">
        <w:rPr>
          <w:rFonts w:ascii="Cambria" w:hAnsi="Cambria"/>
          <w:b/>
          <w:lang w:val="es-SV"/>
        </w:rPr>
        <w:t>.</w:t>
      </w:r>
    </w:p>
    <w:p w:rsidR="003877E6" w:rsidRPr="002B37D4" w:rsidRDefault="003877E6" w:rsidP="001948B3">
      <w:pPr>
        <w:jc w:val="center"/>
        <w:rPr>
          <w:rFonts w:ascii="Arial Narrow" w:hAnsi="Arial Narrow"/>
          <w:sz w:val="28"/>
          <w:lang w:val="es-SV"/>
        </w:rPr>
      </w:pPr>
    </w:p>
    <w:p w:rsidR="003877E6" w:rsidRPr="002B37D4" w:rsidRDefault="003877E6" w:rsidP="003877E6">
      <w:pPr>
        <w:ind w:left="0" w:firstLine="0"/>
        <w:rPr>
          <w:rFonts w:ascii="Arial Narrow" w:hAnsi="Arial Narrow"/>
          <w:sz w:val="28"/>
        </w:rPr>
      </w:pPr>
    </w:p>
    <w:p w:rsidR="0009622B" w:rsidRPr="002B37D4" w:rsidRDefault="00487690" w:rsidP="003877E6">
      <w:pPr>
        <w:ind w:left="0" w:firstLine="0"/>
        <w:rPr>
          <w:rFonts w:ascii="Arial Narrow" w:hAnsi="Arial Narrow"/>
          <w:sz w:val="28"/>
        </w:rPr>
      </w:pPr>
    </w:p>
    <w:sectPr w:rsidR="0009622B" w:rsidRPr="002B37D4">
      <w:pgSz w:w="12240" w:h="15840"/>
      <w:pgMar w:top="1411" w:right="1607" w:bottom="1440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7A98"/>
    <w:multiLevelType w:val="hybridMultilevel"/>
    <w:tmpl w:val="27EA9F60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E6"/>
    <w:rsid w:val="000A7151"/>
    <w:rsid w:val="0016616A"/>
    <w:rsid w:val="001948B3"/>
    <w:rsid w:val="002A013B"/>
    <w:rsid w:val="002B37D4"/>
    <w:rsid w:val="003806CB"/>
    <w:rsid w:val="003877E6"/>
    <w:rsid w:val="0048604A"/>
    <w:rsid w:val="00487690"/>
    <w:rsid w:val="00553659"/>
    <w:rsid w:val="00596FFA"/>
    <w:rsid w:val="006E17D2"/>
    <w:rsid w:val="00776BE0"/>
    <w:rsid w:val="00842552"/>
    <w:rsid w:val="008658E4"/>
    <w:rsid w:val="00995AC1"/>
    <w:rsid w:val="00A42461"/>
    <w:rsid w:val="00BC6ED8"/>
    <w:rsid w:val="00D212F3"/>
    <w:rsid w:val="00DA0AB5"/>
    <w:rsid w:val="00E05B7C"/>
    <w:rsid w:val="00F5047B"/>
    <w:rsid w:val="00F7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0D6B8D"/>
  <w15:chartTrackingRefBased/>
  <w15:docId w15:val="{FEA0381A-D2B7-429E-8112-647C271A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E6"/>
    <w:pPr>
      <w:spacing w:after="245" w:line="272" w:lineRule="auto"/>
      <w:ind w:left="644" w:hanging="64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Mario Alejandro Peña Funes</cp:lastModifiedBy>
  <cp:revision>7</cp:revision>
  <dcterms:created xsi:type="dcterms:W3CDTF">2022-01-11T16:17:00Z</dcterms:created>
  <dcterms:modified xsi:type="dcterms:W3CDTF">2022-05-16T16:21:00Z</dcterms:modified>
</cp:coreProperties>
</file>