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F8" w:rsidRDefault="00C139AF">
      <w:pPr>
        <w:spacing w:after="110" w:line="259" w:lineRule="auto"/>
        <w:ind w:left="47" w:right="0" w:firstLine="0"/>
        <w:jc w:val="center"/>
      </w:pPr>
      <w:r>
        <w:rPr>
          <w:noProof/>
        </w:rPr>
        <w:drawing>
          <wp:inline distT="0" distB="0" distL="0" distR="0">
            <wp:extent cx="617220" cy="784860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410" cy="78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220F8" w:rsidRDefault="00C139AF">
      <w:pPr>
        <w:pStyle w:val="Ttulo1"/>
      </w:pPr>
      <w:r>
        <w:t xml:space="preserve">UNIDAD DE ACCESO A LA INFORMACIÓN PÚBLICA PROCURADURÍA PARA LA DEFENSA DE LOS DERECHOS HUMANOS </w:t>
      </w:r>
    </w:p>
    <w:p w:rsidR="00A220F8" w:rsidRDefault="00C139AF">
      <w:pPr>
        <w:spacing w:after="155" w:line="259" w:lineRule="auto"/>
        <w:ind w:left="0" w:right="0" w:firstLine="0"/>
        <w:jc w:val="left"/>
      </w:pPr>
      <w:r>
        <w:t xml:space="preserve"> </w:t>
      </w:r>
    </w:p>
    <w:p w:rsidR="00A220F8" w:rsidRDefault="005A208E">
      <w:pPr>
        <w:spacing w:after="160"/>
        <w:ind w:left="0" w:right="0" w:firstLine="0"/>
      </w:pPr>
      <w:r>
        <w:t xml:space="preserve">San Salvador, </w:t>
      </w:r>
      <w:r w:rsidR="00ED21BC">
        <w:t>10</w:t>
      </w:r>
      <w:r w:rsidR="00C139AF">
        <w:t xml:space="preserve"> de </w:t>
      </w:r>
      <w:r w:rsidR="00ED21BC">
        <w:t>marzo</w:t>
      </w:r>
      <w:r w:rsidR="005F097B">
        <w:t xml:space="preserve"> </w:t>
      </w:r>
      <w:r w:rsidR="00BA1B6D">
        <w:t>2022</w:t>
      </w:r>
      <w:r w:rsidR="00C139AF">
        <w:t xml:space="preserve">. </w:t>
      </w:r>
    </w:p>
    <w:p w:rsidR="00A220F8" w:rsidRDefault="00C139AF">
      <w:pPr>
        <w:spacing w:after="183" w:line="259" w:lineRule="auto"/>
        <w:ind w:left="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 xml:space="preserve">El artículo 10 numeral 17 de la Ley de Acceso a la información Pública (en adelante LAIP) establece que los entes obligados deberán publicar, divulgar y actualizar los montos y destinatarios privados de recursos públicos, así como los informes que éstos rindan sobre el uso de dichos recursos.  </w:t>
      </w:r>
    </w:p>
    <w:p w:rsidR="00A220F8" w:rsidRDefault="00C139AF">
      <w:pPr>
        <w:spacing w:after="25" w:line="259" w:lineRule="auto"/>
        <w:ind w:left="108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>A efecto de localizar la información enunciada en el párrafo precedente, esta Unidad de Acceso a la Información Pública giró oficios al jefe de la Unidad Financiera Institucional, quien es su respue</w:t>
      </w:r>
      <w:r w:rsidR="005A208E">
        <w:t xml:space="preserve">sta indicó que, para el mes de </w:t>
      </w:r>
      <w:r w:rsidR="00ED21BC">
        <w:rPr>
          <w:b/>
        </w:rPr>
        <w:t>Febrero</w:t>
      </w:r>
      <w:r w:rsidR="00F44FEB">
        <w:rPr>
          <w:b/>
        </w:rPr>
        <w:t xml:space="preserve"> 2022</w:t>
      </w:r>
      <w:r w:rsidRPr="005A208E">
        <w:rPr>
          <w:b/>
        </w:rPr>
        <w:t>,</w:t>
      </w:r>
      <w:r>
        <w:t xml:space="preserve"> la Procuraduría para la Defensa de los Derechos Humanos no entregó recursos públicos a entes privados.  </w:t>
      </w:r>
    </w:p>
    <w:p w:rsidR="00A220F8" w:rsidRDefault="00C139AF">
      <w:pPr>
        <w:spacing w:after="25" w:line="259" w:lineRule="auto"/>
        <w:ind w:left="72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 xml:space="preserve">En virtud de lo anterior, la Procuraduría para la Defensa de los Derechos Humanos no cuenta con información para publicar en este apartado. </w:t>
      </w:r>
    </w:p>
    <w:p w:rsidR="00A220F8" w:rsidRDefault="00C139AF">
      <w:pPr>
        <w:spacing w:after="158" w:line="259" w:lineRule="auto"/>
        <w:ind w:left="720" w:right="0" w:firstLine="0"/>
        <w:jc w:val="left"/>
      </w:pPr>
      <w:r>
        <w:t xml:space="preserve"> </w:t>
      </w:r>
    </w:p>
    <w:p w:rsidR="00A220F8" w:rsidRDefault="00C139AF">
      <w:pPr>
        <w:spacing w:after="155" w:line="259" w:lineRule="auto"/>
        <w:ind w:left="0" w:right="0" w:firstLine="0"/>
        <w:jc w:val="left"/>
      </w:pPr>
      <w:r>
        <w:t xml:space="preserve"> </w:t>
      </w:r>
    </w:p>
    <w:p w:rsidR="00A220F8" w:rsidRDefault="00C139AF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A30752" w:rsidRDefault="00C139AF" w:rsidP="00A30752">
      <w:pPr>
        <w:pStyle w:val="Prrafodelista"/>
        <w:ind w:left="1080"/>
        <w:jc w:val="center"/>
        <w:rPr>
          <w:rFonts w:ascii="Cambria" w:hAnsi="Cambria"/>
          <w:lang w:val="es-SV"/>
        </w:rPr>
      </w:pPr>
      <w:r>
        <w:rPr>
          <w:b/>
          <w:i/>
        </w:rPr>
        <w:t xml:space="preserve"> </w:t>
      </w:r>
      <w:r w:rsidR="00A30752">
        <w:rPr>
          <w:rFonts w:ascii="Cambria" w:hAnsi="Cambria"/>
          <w:lang w:val="es-SV"/>
        </w:rPr>
        <w:t>Licda. Marta Roxana Muñoz de Aragón.</w:t>
      </w:r>
    </w:p>
    <w:p w:rsidR="00A30752" w:rsidRDefault="00ED21BC" w:rsidP="00A30752">
      <w:pPr>
        <w:pStyle w:val="Prrafodelista"/>
        <w:ind w:left="1080"/>
        <w:jc w:val="center"/>
        <w:rPr>
          <w:rFonts w:ascii="Cambria" w:hAnsi="Cambria"/>
          <w:b/>
          <w:lang w:val="es-SV"/>
        </w:rPr>
      </w:pPr>
      <w:r>
        <w:rPr>
          <w:rFonts w:ascii="Cambria" w:hAnsi="Cambria"/>
          <w:b/>
          <w:lang w:val="es-SV"/>
        </w:rPr>
        <w:t>Oficial de Información</w:t>
      </w:r>
      <w:bookmarkStart w:id="0" w:name="_GoBack"/>
      <w:bookmarkEnd w:id="0"/>
      <w:r w:rsidR="00A30752">
        <w:rPr>
          <w:rFonts w:ascii="Cambria" w:hAnsi="Cambria"/>
          <w:b/>
          <w:lang w:val="es-SV"/>
        </w:rPr>
        <w:t>.</w:t>
      </w:r>
    </w:p>
    <w:p w:rsidR="00A220F8" w:rsidRPr="005F097B" w:rsidRDefault="00C139AF" w:rsidP="00A30752">
      <w:pPr>
        <w:spacing w:after="158" w:line="259" w:lineRule="auto"/>
        <w:ind w:left="0" w:right="0" w:firstLine="0"/>
        <w:jc w:val="left"/>
        <w:rPr>
          <w:sz w:val="24"/>
        </w:rPr>
      </w:pPr>
      <w:r w:rsidRPr="005F097B">
        <w:rPr>
          <w:sz w:val="24"/>
        </w:rPr>
        <w:t xml:space="preserve"> </w:t>
      </w:r>
    </w:p>
    <w:p w:rsidR="00A220F8" w:rsidRDefault="00C139AF">
      <w:pPr>
        <w:spacing w:after="158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A220F8" w:rsidRDefault="00C139AF">
      <w:pPr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A220F8">
      <w:pgSz w:w="12240" w:h="15840"/>
      <w:pgMar w:top="1416" w:right="169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4BA6"/>
    <w:multiLevelType w:val="hybridMultilevel"/>
    <w:tmpl w:val="C038A7C4"/>
    <w:lvl w:ilvl="0" w:tplc="7A2097BA">
      <w:start w:val="1"/>
      <w:numFmt w:val="upperRoman"/>
      <w:lvlText w:val="%1."/>
      <w:lvlJc w:val="left"/>
      <w:pPr>
        <w:ind w:left="10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86D4C8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960D20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042AF4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C6FC9A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F646D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7AE008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24097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1C9EBA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F8"/>
    <w:rsid w:val="000A08AA"/>
    <w:rsid w:val="00222DA5"/>
    <w:rsid w:val="005A208E"/>
    <w:rsid w:val="005F097B"/>
    <w:rsid w:val="00A220F8"/>
    <w:rsid w:val="00A30752"/>
    <w:rsid w:val="00B24B21"/>
    <w:rsid w:val="00B85AF7"/>
    <w:rsid w:val="00BA1B6D"/>
    <w:rsid w:val="00C139AF"/>
    <w:rsid w:val="00EC4E86"/>
    <w:rsid w:val="00ED21BC"/>
    <w:rsid w:val="00ED7548"/>
    <w:rsid w:val="00EF3A0A"/>
    <w:rsid w:val="00F44FEB"/>
    <w:rsid w:val="00F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2B556F"/>
  <w15:docId w15:val="{DF88BECA-9B66-4BC6-86B3-1EDA60CD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58" w:lineRule="auto"/>
      <w:ind w:left="730" w:right="3" w:hanging="730"/>
      <w:jc w:val="both"/>
    </w:pPr>
    <w:rPr>
      <w:rFonts w:ascii="Cambria" w:eastAsia="Cambria" w:hAnsi="Cambria" w:cs="Cambria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Cambria" w:eastAsia="Cambria" w:hAnsi="Cambria" w:cs="Cambria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mbria" w:eastAsia="Cambria" w:hAnsi="Cambria" w:cs="Cambria"/>
      <w:color w:val="000000"/>
      <w:sz w:val="22"/>
    </w:rPr>
  </w:style>
  <w:style w:type="paragraph" w:styleId="Prrafodelista">
    <w:name w:val="List Paragraph"/>
    <w:basedOn w:val="Normal"/>
    <w:uiPriority w:val="34"/>
    <w:qFormat/>
    <w:rsid w:val="00A30752"/>
    <w:pPr>
      <w:spacing w:after="160" w:line="252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Patricia Corado de Escobar</dc:creator>
  <cp:keywords/>
  <cp:lastModifiedBy>Mario Alejandro Peña Funes</cp:lastModifiedBy>
  <cp:revision>6</cp:revision>
  <dcterms:created xsi:type="dcterms:W3CDTF">2021-11-03T16:46:00Z</dcterms:created>
  <dcterms:modified xsi:type="dcterms:W3CDTF">2022-03-14T14:58:00Z</dcterms:modified>
</cp:coreProperties>
</file>