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9D" w:rsidRPr="002C0665" w:rsidRDefault="00115C9D" w:rsidP="00115C9D">
      <w:pPr>
        <w:pStyle w:val="Prrafodelista"/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  <w:noProof/>
          <w:lang w:eastAsia="es-SV"/>
        </w:rPr>
        <w:drawing>
          <wp:inline distT="0" distB="0" distL="0" distR="0" wp14:anchorId="11DA7843" wp14:editId="05446375">
            <wp:extent cx="762000" cy="995591"/>
            <wp:effectExtent l="0" t="0" r="0" b="0"/>
            <wp:docPr id="1" name="Imagen 1" descr="E:\logo_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_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38" cy="10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</w:rPr>
        <w:t>PROCURADURÍA PARA LA DEFENSA DE LOS DERECHOS HUMANOS</w:t>
      </w: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</w:rPr>
        <w:t>UNIDAD DE ACCESO A LA INFORMACIÓN PÚBLICA</w:t>
      </w:r>
    </w:p>
    <w:p w:rsidR="00115C9D" w:rsidRPr="002C0665" w:rsidRDefault="00115C9D" w:rsidP="00115C9D">
      <w:pPr>
        <w:rPr>
          <w:rFonts w:ascii="Cambria" w:hAnsi="Cambria"/>
        </w:rPr>
      </w:pPr>
    </w:p>
    <w:p w:rsidR="00115C9D" w:rsidRPr="002C0665" w:rsidRDefault="00F47C2B" w:rsidP="00115C9D">
      <w:pPr>
        <w:rPr>
          <w:rFonts w:ascii="Cambria" w:hAnsi="Cambria"/>
        </w:rPr>
      </w:pPr>
      <w:r>
        <w:rPr>
          <w:rFonts w:ascii="Cambria" w:hAnsi="Cambria"/>
        </w:rPr>
        <w:t>San Salvador,</w:t>
      </w:r>
      <w:r w:rsidR="00E96322">
        <w:rPr>
          <w:rFonts w:ascii="Cambria" w:hAnsi="Cambria"/>
        </w:rPr>
        <w:t xml:space="preserve"> 9</w:t>
      </w:r>
      <w:r w:rsidR="00115C9D">
        <w:rPr>
          <w:rFonts w:ascii="Cambria" w:hAnsi="Cambria"/>
        </w:rPr>
        <w:t xml:space="preserve"> </w:t>
      </w:r>
      <w:r w:rsidR="00115C9D" w:rsidRPr="002C0665">
        <w:rPr>
          <w:rFonts w:ascii="Cambria" w:hAnsi="Cambria"/>
        </w:rPr>
        <w:t xml:space="preserve">de </w:t>
      </w:r>
      <w:r w:rsidR="00E96322">
        <w:rPr>
          <w:rFonts w:ascii="Cambria" w:hAnsi="Cambria"/>
        </w:rPr>
        <w:t>dic</w:t>
      </w:r>
      <w:r w:rsidR="0031488B">
        <w:rPr>
          <w:rFonts w:ascii="Cambria" w:hAnsi="Cambria"/>
        </w:rPr>
        <w:t>iem</w:t>
      </w:r>
      <w:r w:rsidR="007F57A2">
        <w:rPr>
          <w:rFonts w:ascii="Cambria" w:hAnsi="Cambria"/>
        </w:rPr>
        <w:t>bre</w:t>
      </w:r>
      <w:r w:rsidR="00681E70">
        <w:rPr>
          <w:rFonts w:ascii="Cambria" w:hAnsi="Cambria"/>
        </w:rPr>
        <w:t xml:space="preserve"> </w:t>
      </w:r>
      <w:r w:rsidR="00D4497F">
        <w:rPr>
          <w:rFonts w:ascii="Cambria" w:hAnsi="Cambria"/>
        </w:rPr>
        <w:t>de 2021</w:t>
      </w:r>
      <w:r w:rsidR="0050104A">
        <w:rPr>
          <w:rFonts w:ascii="Cambria" w:hAnsi="Cambria"/>
        </w:rPr>
        <w:t>.</w:t>
      </w:r>
    </w:p>
    <w:p w:rsidR="00115C9D" w:rsidRPr="002C0665" w:rsidRDefault="00115C9D" w:rsidP="00115C9D">
      <w:pPr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pStyle w:val="Prrafodelista"/>
        <w:numPr>
          <w:ilvl w:val="0"/>
          <w:numId w:val="1"/>
        </w:numPr>
        <w:jc w:val="both"/>
        <w:rPr>
          <w:rFonts w:ascii="Cambria" w:hAnsi="Cambria" w:cs="Arabic Typesetting"/>
        </w:rPr>
      </w:pPr>
      <w:r w:rsidRPr="002C0665">
        <w:rPr>
          <w:rFonts w:ascii="Cambria" w:hAnsi="Cambria" w:cs="Arabic Typesetting"/>
        </w:rPr>
        <w:t xml:space="preserve">El artículo 10 numeral 25 de la Ley de Acceso a la Información Pública (en adelante LAIP) establece que los entes obligados deberán publicar las actas de sesiones ordinarias y extraordinarias emitidas por sus órganos colegiados en lo que corresponda a las actas de sesiones ordinarias y extraordinarias </w:t>
      </w:r>
      <w:r w:rsidRPr="002C0665">
        <w:rPr>
          <w:rFonts w:ascii="Cambria" w:eastAsia="Calibri" w:hAnsi="Cambria" w:cs="Arabic Typesetting"/>
          <w:color w:val="18171A"/>
          <w:w w:val="102"/>
        </w:rPr>
        <w:t>emitidas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por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sus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órganos</w:t>
      </w:r>
      <w:r w:rsidRPr="002C0665">
        <w:rPr>
          <w:rFonts w:ascii="Cambria" w:eastAsia="Calibri" w:hAnsi="Cambria" w:cs="Arabic Typesetting"/>
          <w:color w:val="18171A"/>
          <w:spacing w:val="-11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colegiados</w:t>
      </w:r>
      <w:r w:rsidRPr="002C0665">
        <w:rPr>
          <w:rFonts w:ascii="Cambria" w:eastAsia="Calibri" w:hAnsi="Cambria" w:cs="Arabic Typesetting"/>
          <w:color w:val="18171A"/>
          <w:spacing w:val="-15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en</w:t>
      </w:r>
      <w:r w:rsidRPr="002C0665">
        <w:rPr>
          <w:rFonts w:ascii="Cambria" w:eastAsia="Calibri" w:hAnsi="Cambria" w:cs="Arabic Typesetting"/>
          <w:color w:val="18171A"/>
          <w:spacing w:val="-15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lo</w:t>
      </w:r>
      <w:r w:rsidRPr="002C0665">
        <w:rPr>
          <w:rFonts w:ascii="Cambria" w:eastAsia="Calibri" w:hAnsi="Cambria" w:cs="Arabic Typesetting"/>
          <w:color w:val="18171A"/>
          <w:spacing w:val="-11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que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 xml:space="preserve">corresponda a temas de presupuesto, administración y cualquier otro que estime conveniente. </w:t>
      </w:r>
    </w:p>
    <w:p w:rsidR="00115C9D" w:rsidRPr="002C0665" w:rsidRDefault="00115C9D" w:rsidP="00115C9D">
      <w:pPr>
        <w:pStyle w:val="Prrafodelista"/>
        <w:ind w:left="1080"/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pStyle w:val="Prrafodelista"/>
        <w:numPr>
          <w:ilvl w:val="0"/>
          <w:numId w:val="1"/>
        </w:numPr>
        <w:jc w:val="both"/>
        <w:rPr>
          <w:rFonts w:ascii="Cambria" w:eastAsia="Calibri" w:hAnsi="Cambria" w:cs="Calibri"/>
          <w:color w:val="000000"/>
          <w:lang w:eastAsia="es-SV"/>
        </w:rPr>
      </w:pPr>
      <w:r w:rsidRPr="002C0665">
        <w:rPr>
          <w:rFonts w:ascii="Cambria" w:eastAsia="Calibri" w:hAnsi="Cambria" w:cs="Calibri"/>
          <w:noProof/>
          <w:color w:val="000000"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82D10" wp14:editId="6DD583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32903" cy="261262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903" cy="261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C9D" w:rsidRDefault="00115C9D" w:rsidP="00115C9D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82D10" id="Rectangle 34" o:spid="_x0000_s1026" style="position:absolute;left:0;text-align:left;margin-left:0;margin-top:0;width:538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" filled="f" stroked="f">
                <v:textbox inset="0,0,0,0">
                  <w:txbxContent>
                    <w:p w:rsidR="00115C9D" w:rsidRDefault="00115C9D" w:rsidP="00115C9D"/>
                  </w:txbxContent>
                </v:textbox>
              </v:rect>
            </w:pict>
          </mc:Fallback>
        </mc:AlternateContent>
      </w:r>
      <w:r w:rsidRPr="002C0665">
        <w:rPr>
          <w:rFonts w:ascii="Cambria" w:hAnsi="Cambria" w:cs="Arabic Typesetting"/>
        </w:rPr>
        <w:t>El artículo 3 de la Ley de la Procuraduría para la Defensa de los Derechos Humanos, señala que esta Institución estará a cargo del Procurador, quien ejercerá sus funciones en todo el territorio nacional ya sea que actué personalmente o por medio de sus delegados</w:t>
      </w:r>
    </w:p>
    <w:p w:rsidR="00115C9D" w:rsidRPr="002C0665" w:rsidRDefault="00115C9D" w:rsidP="00115C9D">
      <w:pPr>
        <w:pStyle w:val="Prrafodelista"/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pStyle w:val="Prrafodelista"/>
        <w:numPr>
          <w:ilvl w:val="0"/>
          <w:numId w:val="1"/>
        </w:numPr>
        <w:jc w:val="both"/>
        <w:rPr>
          <w:rFonts w:ascii="Cambria" w:eastAsia="Calibri" w:hAnsi="Cambria" w:cs="Calibri"/>
          <w:color w:val="000000"/>
          <w:lang w:eastAsia="es-SV"/>
        </w:rPr>
      </w:pPr>
      <w:r w:rsidRPr="002C0665">
        <w:rPr>
          <w:rFonts w:ascii="Cambria" w:hAnsi="Cambria" w:cs="Arabic Typesetting"/>
        </w:rPr>
        <w:t>En virtud de lo anterior se advierte que, al no contar este ente obligado dentro de su estructura con consejos, comisiones u organismos similares, no es posible publicar las actas que requiere la citada disposi</w:t>
      </w:r>
      <w:r>
        <w:rPr>
          <w:rFonts w:ascii="Cambria" w:hAnsi="Cambria" w:cs="Arabic Typesetting"/>
        </w:rPr>
        <w:t xml:space="preserve">ción legal de la LAIP, para el mes de </w:t>
      </w:r>
      <w:r w:rsidR="00E96322">
        <w:rPr>
          <w:rFonts w:ascii="Cambria" w:hAnsi="Cambria" w:cs="Arabic Typesetting"/>
          <w:b/>
        </w:rPr>
        <w:t>noviemb</w:t>
      </w:r>
      <w:r w:rsidR="007F57A2">
        <w:rPr>
          <w:rFonts w:ascii="Cambria" w:hAnsi="Cambria" w:cs="Arabic Typesetting"/>
          <w:b/>
        </w:rPr>
        <w:t>re</w:t>
      </w:r>
      <w:r w:rsidR="00A11C98">
        <w:rPr>
          <w:rFonts w:ascii="Cambria" w:hAnsi="Cambria" w:cs="Arabic Typesetting"/>
          <w:b/>
        </w:rPr>
        <w:t xml:space="preserve"> </w:t>
      </w:r>
      <w:r w:rsidR="00D4497F" w:rsidRPr="00681E70">
        <w:rPr>
          <w:rFonts w:ascii="Cambria" w:hAnsi="Cambria" w:cs="Arabic Typesetting"/>
          <w:b/>
        </w:rPr>
        <w:t>de 202</w:t>
      </w:r>
      <w:r w:rsidR="00F47C2B" w:rsidRPr="00681E70">
        <w:rPr>
          <w:rFonts w:ascii="Cambria" w:hAnsi="Cambria" w:cs="Arabic Typesetting"/>
          <w:b/>
        </w:rPr>
        <w:t>1</w:t>
      </w:r>
      <w:r w:rsidRPr="00681E70">
        <w:rPr>
          <w:rFonts w:ascii="Cambria" w:hAnsi="Cambria" w:cs="Arabic Typesetting"/>
          <w:b/>
        </w:rPr>
        <w:t>.</w:t>
      </w:r>
    </w:p>
    <w:p w:rsidR="00115C9D" w:rsidRPr="002C0665" w:rsidRDefault="00115C9D" w:rsidP="00115C9D">
      <w:pPr>
        <w:pStyle w:val="Prrafodelista"/>
        <w:jc w:val="both"/>
        <w:rPr>
          <w:rFonts w:ascii="Cambria" w:hAnsi="Cambria" w:cs="Arabic Typesetting"/>
        </w:rPr>
      </w:pPr>
    </w:p>
    <w:p w:rsidR="00115C9D" w:rsidRPr="00AE44F1" w:rsidRDefault="00115C9D" w:rsidP="00115C9D">
      <w:pPr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spacing w:line="240" w:lineRule="auto"/>
        <w:contextualSpacing/>
        <w:jc w:val="center"/>
        <w:rPr>
          <w:rFonts w:ascii="Cambria" w:hAnsi="Cambria" w:cs="Arabic Typesetting"/>
        </w:rPr>
      </w:pPr>
    </w:p>
    <w:p w:rsidR="00D11238" w:rsidRDefault="00D11238" w:rsidP="00D11238">
      <w:pPr>
        <w:pStyle w:val="Prrafodelista"/>
        <w:ind w:left="1080"/>
        <w:jc w:val="center"/>
        <w:rPr>
          <w:rFonts w:ascii="Cambria" w:hAnsi="Cambria"/>
        </w:rPr>
      </w:pPr>
      <w:r>
        <w:rPr>
          <w:rFonts w:ascii="Cambria" w:hAnsi="Cambria"/>
        </w:rPr>
        <w:t>Licda. Marta Roxana Muñoz de Aragón.</w:t>
      </w:r>
    </w:p>
    <w:p w:rsidR="00D11238" w:rsidRDefault="00D11238" w:rsidP="00D11238">
      <w:pPr>
        <w:pStyle w:val="Prrafodelista"/>
        <w:ind w:left="108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Oficial de Información Interina.</w:t>
      </w:r>
    </w:p>
    <w:p w:rsidR="00115C9D" w:rsidRPr="002C0665" w:rsidRDefault="00115C9D" w:rsidP="00115C9D">
      <w:pPr>
        <w:rPr>
          <w:rFonts w:ascii="Cambria" w:hAnsi="Cambria"/>
        </w:rPr>
      </w:pPr>
      <w:bookmarkStart w:id="0" w:name="_GoBack"/>
      <w:bookmarkEnd w:id="0"/>
    </w:p>
    <w:p w:rsidR="00115C9D" w:rsidRDefault="00115C9D" w:rsidP="00115C9D"/>
    <w:p w:rsidR="00115C9D" w:rsidRDefault="00115C9D" w:rsidP="00115C9D"/>
    <w:p w:rsidR="00115C9D" w:rsidRDefault="00115C9D" w:rsidP="00115C9D"/>
    <w:p w:rsidR="00115C9D" w:rsidRDefault="00115C9D" w:rsidP="00115C9D"/>
    <w:p w:rsidR="0009622B" w:rsidRDefault="00D11238"/>
    <w:sectPr w:rsidR="00096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866B6"/>
    <w:multiLevelType w:val="hybridMultilevel"/>
    <w:tmpl w:val="2C504946"/>
    <w:lvl w:ilvl="0" w:tplc="EA182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9D"/>
    <w:rsid w:val="00115C9D"/>
    <w:rsid w:val="00151E08"/>
    <w:rsid w:val="0031488B"/>
    <w:rsid w:val="0050104A"/>
    <w:rsid w:val="00553659"/>
    <w:rsid w:val="00681E70"/>
    <w:rsid w:val="00763BED"/>
    <w:rsid w:val="007F57A2"/>
    <w:rsid w:val="0097386E"/>
    <w:rsid w:val="009A6EC6"/>
    <w:rsid w:val="009F10C0"/>
    <w:rsid w:val="00A11C98"/>
    <w:rsid w:val="00D11238"/>
    <w:rsid w:val="00D4497F"/>
    <w:rsid w:val="00E96322"/>
    <w:rsid w:val="00F47C2B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9AC612-2B19-43F5-92AE-4ADFFADF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Mario Alejandro Peña Funes</cp:lastModifiedBy>
  <cp:revision>4</cp:revision>
  <dcterms:created xsi:type="dcterms:W3CDTF">2021-11-03T17:21:00Z</dcterms:created>
  <dcterms:modified xsi:type="dcterms:W3CDTF">2021-12-09T15:17:00Z</dcterms:modified>
</cp:coreProperties>
</file>