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617220" cy="78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" cy="7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 xml:space="preserve">San Salvador, </w:t>
      </w:r>
      <w:r w:rsidR="00EC4E86">
        <w:t>03</w:t>
      </w:r>
      <w:r w:rsidR="00C139AF">
        <w:t xml:space="preserve"> de </w:t>
      </w:r>
      <w:r w:rsidR="00EC4E86">
        <w:t>noviem</w:t>
      </w:r>
      <w:r w:rsidR="00B85AF7">
        <w:t>bre</w:t>
      </w:r>
      <w:r w:rsidR="005F097B">
        <w:t xml:space="preserve"> </w:t>
      </w:r>
      <w:r w:rsidR="00C139AF">
        <w:t xml:space="preserve">2021.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>A efecto de localizar la información enunciada en el párrafo precedente, esta Unidad de Acceso a la Información Pública giró oficios al jefe de la Unidad Financiera Institucional, quien es su respue</w:t>
      </w:r>
      <w:r w:rsidR="005A208E">
        <w:t xml:space="preserve">sta indicó que, para el mes de </w:t>
      </w:r>
      <w:r w:rsidR="00EC4E86">
        <w:rPr>
          <w:b/>
        </w:rPr>
        <w:t>octu</w:t>
      </w:r>
      <w:r w:rsidR="00B85AF7">
        <w:rPr>
          <w:b/>
        </w:rPr>
        <w:t>bre</w:t>
      </w:r>
      <w:r w:rsidR="00222DA5">
        <w:rPr>
          <w:b/>
        </w:rPr>
        <w:t xml:space="preserve"> </w:t>
      </w:r>
      <w:r w:rsidRPr="005A208E">
        <w:rPr>
          <w:b/>
        </w:rPr>
        <w:t>de 2021,</w:t>
      </w:r>
      <w:r>
        <w:t xml:space="preserve"> la Procuraduría para la Defensa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>En virtud de lo anterior, la Procuraduría par</w:t>
      </w:r>
      <w:bookmarkStart w:id="0" w:name="_GoBack"/>
      <w:bookmarkEnd w:id="0"/>
      <w:r>
        <w:t xml:space="preserve">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:rsidR="005F097B" w:rsidRPr="00222DA5" w:rsidRDefault="00C139AF">
      <w:pPr>
        <w:spacing w:after="158" w:line="256" w:lineRule="auto"/>
        <w:ind w:left="2978" w:right="1850" w:firstLine="0"/>
        <w:jc w:val="center"/>
      </w:pPr>
      <w:r w:rsidRPr="00222DA5">
        <w:t>L</w:t>
      </w:r>
      <w:r w:rsidR="005F097B" w:rsidRPr="00222DA5">
        <w:t xml:space="preserve">icda. Yesica Concepción Sánchez </w:t>
      </w:r>
      <w:r w:rsidRPr="00222DA5">
        <w:t xml:space="preserve">López. </w:t>
      </w:r>
    </w:p>
    <w:p w:rsidR="00A220F8" w:rsidRPr="00222DA5" w:rsidRDefault="00C139AF">
      <w:pPr>
        <w:spacing w:after="158" w:line="256" w:lineRule="auto"/>
        <w:ind w:left="2978" w:right="1850" w:firstLine="0"/>
        <w:jc w:val="center"/>
        <w:rPr>
          <w:b/>
        </w:rPr>
      </w:pPr>
      <w:r w:rsidRPr="00222DA5">
        <w:rPr>
          <w:b/>
        </w:rPr>
        <w:t xml:space="preserve">Oficial de Información. 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A08AA"/>
    <w:rsid w:val="00222DA5"/>
    <w:rsid w:val="005A208E"/>
    <w:rsid w:val="005F097B"/>
    <w:rsid w:val="00A220F8"/>
    <w:rsid w:val="00B24B21"/>
    <w:rsid w:val="00B85AF7"/>
    <w:rsid w:val="00C139AF"/>
    <w:rsid w:val="00EC4E86"/>
    <w:rsid w:val="00ED7548"/>
    <w:rsid w:val="00EF3A0A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112AA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Mario Alejandro Peña Funes</cp:lastModifiedBy>
  <cp:revision>2</cp:revision>
  <dcterms:created xsi:type="dcterms:W3CDTF">2021-11-03T16:46:00Z</dcterms:created>
  <dcterms:modified xsi:type="dcterms:W3CDTF">2021-11-03T16:46:00Z</dcterms:modified>
</cp:coreProperties>
</file>