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E6" w:rsidRPr="00313669" w:rsidRDefault="003877E6" w:rsidP="001F466A">
      <w:pPr>
        <w:spacing w:after="0" w:line="360" w:lineRule="auto"/>
        <w:ind w:left="3689" w:firstLine="0"/>
        <w:rPr>
          <w:rFonts w:ascii="Arial Narrow" w:hAnsi="Arial Narrow"/>
          <w:sz w:val="24"/>
          <w:szCs w:val="24"/>
        </w:rPr>
      </w:pPr>
      <w:r w:rsidRPr="00313669">
        <w:rPr>
          <w:rFonts w:ascii="Arial Narrow" w:hAnsi="Arial Narrow"/>
          <w:noProof/>
          <w:sz w:val="24"/>
          <w:szCs w:val="24"/>
          <w:lang w:val="es-SV" w:eastAsia="es-SV"/>
        </w:rPr>
        <w:drawing>
          <wp:inline distT="0" distB="0" distL="0" distR="0" wp14:anchorId="44090A0C" wp14:editId="29D3474D">
            <wp:extent cx="606481" cy="792480"/>
            <wp:effectExtent l="0" t="0" r="3175" b="7620"/>
            <wp:docPr id="1" name="Imagen 1" descr="D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0" cy="8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E6" w:rsidRPr="00313669" w:rsidRDefault="003877E6" w:rsidP="001F466A">
      <w:pPr>
        <w:spacing w:after="0" w:line="360" w:lineRule="auto"/>
        <w:ind w:left="987" w:firstLine="0"/>
        <w:contextualSpacing/>
        <w:jc w:val="left"/>
        <w:rPr>
          <w:rFonts w:ascii="Arial Narrow" w:hAnsi="Arial Narrow"/>
          <w:b/>
          <w:sz w:val="24"/>
          <w:szCs w:val="24"/>
          <w:lang w:val="es-SV"/>
        </w:rPr>
      </w:pPr>
      <w:r w:rsidRPr="00313669">
        <w:rPr>
          <w:rFonts w:ascii="Arial Narrow" w:hAnsi="Arial Narrow"/>
          <w:b/>
          <w:sz w:val="24"/>
          <w:szCs w:val="24"/>
          <w:lang w:val="es-SV"/>
        </w:rPr>
        <w:t>PROCURADURÍA PARA LA DEFENSA DE LOS DERECHOS HUMANOS</w:t>
      </w:r>
    </w:p>
    <w:p w:rsidR="003877E6" w:rsidRPr="00313669" w:rsidRDefault="003877E6" w:rsidP="001F466A">
      <w:pPr>
        <w:spacing w:after="0" w:line="360" w:lineRule="auto"/>
        <w:ind w:left="987" w:firstLine="0"/>
        <w:rPr>
          <w:rFonts w:ascii="Arial Narrow" w:hAnsi="Arial Narrow"/>
          <w:b/>
          <w:sz w:val="24"/>
          <w:szCs w:val="24"/>
          <w:lang w:val="es-SV"/>
        </w:rPr>
      </w:pPr>
      <w:r w:rsidRPr="00313669">
        <w:rPr>
          <w:rFonts w:ascii="Arial Narrow" w:hAnsi="Arial Narrow"/>
          <w:b/>
          <w:sz w:val="24"/>
          <w:szCs w:val="24"/>
          <w:lang w:val="es-SV"/>
        </w:rPr>
        <w:t xml:space="preserve">             UNIDAD DE ACCESO A LA INFORMACIÓN PÚBLICA</w:t>
      </w:r>
    </w:p>
    <w:p w:rsidR="001F466A" w:rsidRPr="00313669" w:rsidRDefault="001F466A" w:rsidP="001F466A">
      <w:pPr>
        <w:spacing w:after="0" w:line="360" w:lineRule="auto"/>
        <w:ind w:left="987" w:firstLine="0"/>
        <w:rPr>
          <w:rFonts w:ascii="Arial Narrow" w:hAnsi="Arial Narrow"/>
          <w:b/>
          <w:sz w:val="24"/>
          <w:szCs w:val="24"/>
          <w:lang w:val="es-SV"/>
        </w:rPr>
      </w:pPr>
    </w:p>
    <w:p w:rsidR="003877E6" w:rsidRPr="00313669" w:rsidRDefault="001F466A" w:rsidP="001F466A">
      <w:pPr>
        <w:spacing w:after="0" w:line="360" w:lineRule="auto"/>
        <w:rPr>
          <w:rFonts w:ascii="Arial Narrow" w:hAnsi="Arial Narrow"/>
          <w:sz w:val="24"/>
          <w:szCs w:val="24"/>
          <w:lang w:val="es-SV"/>
        </w:rPr>
      </w:pPr>
      <w:r w:rsidRPr="00313669">
        <w:rPr>
          <w:rFonts w:ascii="Arial Narrow" w:hAnsi="Arial Narrow"/>
          <w:sz w:val="24"/>
          <w:szCs w:val="24"/>
          <w:lang w:val="es-SV"/>
        </w:rPr>
        <w:t>San Salvador, 2</w:t>
      </w:r>
      <w:r w:rsidR="0040359F" w:rsidRPr="00313669">
        <w:rPr>
          <w:rFonts w:ascii="Arial Narrow" w:hAnsi="Arial Narrow"/>
          <w:sz w:val="24"/>
          <w:szCs w:val="24"/>
          <w:lang w:val="es-SV"/>
        </w:rPr>
        <w:t>0</w:t>
      </w:r>
      <w:r w:rsidR="003877E6" w:rsidRPr="00313669">
        <w:rPr>
          <w:rFonts w:ascii="Arial Narrow" w:hAnsi="Arial Narrow"/>
          <w:sz w:val="24"/>
          <w:szCs w:val="24"/>
          <w:lang w:val="es-SV"/>
        </w:rPr>
        <w:t xml:space="preserve"> </w:t>
      </w:r>
      <w:r w:rsidR="003806CB" w:rsidRPr="00313669">
        <w:rPr>
          <w:rFonts w:ascii="Arial Narrow" w:hAnsi="Arial Narrow"/>
          <w:sz w:val="24"/>
          <w:szCs w:val="24"/>
          <w:lang w:val="es-SV"/>
        </w:rPr>
        <w:t xml:space="preserve">de </w:t>
      </w:r>
      <w:r w:rsidR="0040359F" w:rsidRPr="00313669">
        <w:rPr>
          <w:rFonts w:ascii="Arial Narrow" w:hAnsi="Arial Narrow"/>
          <w:sz w:val="24"/>
          <w:szCs w:val="24"/>
          <w:lang w:val="es-SV"/>
        </w:rPr>
        <w:t xml:space="preserve">agosto </w:t>
      </w:r>
      <w:r w:rsidR="003877E6" w:rsidRPr="00313669">
        <w:rPr>
          <w:rFonts w:ascii="Arial Narrow" w:hAnsi="Arial Narrow"/>
          <w:sz w:val="24"/>
          <w:szCs w:val="24"/>
          <w:lang w:val="es-SV"/>
        </w:rPr>
        <w:t>de 202</w:t>
      </w:r>
      <w:r w:rsidR="00A42461" w:rsidRPr="00313669">
        <w:rPr>
          <w:rFonts w:ascii="Arial Narrow" w:hAnsi="Arial Narrow"/>
          <w:sz w:val="24"/>
          <w:szCs w:val="24"/>
          <w:lang w:val="es-SV"/>
        </w:rPr>
        <w:t>1.</w:t>
      </w:r>
    </w:p>
    <w:p w:rsidR="001F466A" w:rsidRPr="00313669" w:rsidRDefault="003877E6" w:rsidP="001F46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eft"/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</w:pPr>
      <w:r w:rsidRPr="00313669">
        <w:rPr>
          <w:rFonts w:ascii="Arial Narrow" w:hAnsi="Arial Narrow"/>
          <w:sz w:val="24"/>
          <w:szCs w:val="24"/>
          <w:lang w:val="es-SV"/>
        </w:rPr>
        <w:t xml:space="preserve">El artículo 10 </w:t>
      </w:r>
      <w:r w:rsidR="001F466A" w:rsidRPr="00313669">
        <w:rPr>
          <w:rFonts w:ascii="Arial Narrow" w:hAnsi="Arial Narrow"/>
          <w:sz w:val="24"/>
          <w:szCs w:val="24"/>
          <w:lang w:val="es-SV"/>
        </w:rPr>
        <w:t xml:space="preserve">de la Ley de Acceso a la Información Pública (en adelante LAIP)  </w:t>
      </w:r>
      <w:r w:rsidRPr="00313669">
        <w:rPr>
          <w:rFonts w:ascii="Arial Narrow" w:hAnsi="Arial Narrow"/>
          <w:sz w:val="24"/>
          <w:szCs w:val="24"/>
          <w:lang w:val="es-SV"/>
        </w:rPr>
        <w:t>numeral</w:t>
      </w:r>
      <w:r w:rsidR="001F466A" w:rsidRPr="00313669">
        <w:rPr>
          <w:rFonts w:ascii="Arial Narrow" w:hAnsi="Arial Narrow"/>
          <w:sz w:val="24"/>
          <w:szCs w:val="24"/>
          <w:lang w:val="es-SV"/>
        </w:rPr>
        <w:t xml:space="preserve"> </w:t>
      </w:r>
      <w:r w:rsidR="001F466A" w:rsidRPr="00313669"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  <w:t>5. Establece que los Entes obligados deben publicar los procedimientos de selección y contratación de personal ya sea por el sistema de Ley</w:t>
      </w:r>
      <w:r w:rsidR="00313669" w:rsidRPr="00313669"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  <w:t xml:space="preserve"> </w:t>
      </w:r>
      <w:r w:rsidR="00313669" w:rsidRPr="00313669"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  <w:t>de Salarios, contratos, jornales o cualquier otro medio.</w:t>
      </w:r>
      <w:bookmarkStart w:id="0" w:name="_GoBack"/>
      <w:bookmarkEnd w:id="0"/>
    </w:p>
    <w:p w:rsidR="003877E6" w:rsidRPr="00313669" w:rsidRDefault="003877E6" w:rsidP="001F466A">
      <w:pPr>
        <w:pStyle w:val="Prrafodelista"/>
        <w:numPr>
          <w:ilvl w:val="0"/>
          <w:numId w:val="1"/>
        </w:numPr>
        <w:spacing w:after="0" w:line="360" w:lineRule="auto"/>
        <w:ind w:right="14"/>
        <w:rPr>
          <w:rFonts w:ascii="Arial Narrow" w:hAnsi="Arial Narrow"/>
          <w:sz w:val="24"/>
          <w:szCs w:val="24"/>
          <w:lang w:val="es-SV"/>
        </w:rPr>
      </w:pPr>
      <w:r w:rsidRPr="00313669">
        <w:rPr>
          <w:rFonts w:ascii="Arial Narrow" w:hAnsi="Arial Narrow"/>
          <w:sz w:val="24"/>
          <w:szCs w:val="24"/>
          <w:lang w:val="es-SV"/>
        </w:rPr>
        <w:t>A efecto de localizar la información enunciada en el párra</w:t>
      </w:r>
      <w:r w:rsidR="001F466A" w:rsidRPr="00313669">
        <w:rPr>
          <w:rFonts w:ascii="Arial Narrow" w:hAnsi="Arial Narrow"/>
          <w:sz w:val="24"/>
          <w:szCs w:val="24"/>
          <w:lang w:val="es-SV"/>
        </w:rPr>
        <w:t>fo precedente, se giró memorando a</w:t>
      </w:r>
      <w:r w:rsidRPr="00313669">
        <w:rPr>
          <w:rFonts w:ascii="Arial Narrow" w:hAnsi="Arial Narrow"/>
          <w:sz w:val="24"/>
          <w:szCs w:val="24"/>
          <w:lang w:val="es-SV"/>
        </w:rPr>
        <w:t>l</w:t>
      </w:r>
      <w:r w:rsidR="001F466A" w:rsidRPr="00313669">
        <w:rPr>
          <w:rFonts w:ascii="Arial Narrow" w:hAnsi="Arial Narrow"/>
          <w:sz w:val="24"/>
          <w:szCs w:val="24"/>
          <w:lang w:val="es-SV"/>
        </w:rPr>
        <w:t xml:space="preserve"> Departamento de Recursos Humanos</w:t>
      </w:r>
      <w:r w:rsidRPr="00313669">
        <w:rPr>
          <w:rFonts w:ascii="Arial Narrow" w:hAnsi="Arial Narrow"/>
          <w:sz w:val="24"/>
          <w:szCs w:val="24"/>
          <w:lang w:val="es-SV"/>
        </w:rPr>
        <w:t xml:space="preserve">, en cuya respuesta se indicó que esta Institución </w:t>
      </w:r>
      <w:r w:rsidR="00A42461" w:rsidRPr="00313669">
        <w:rPr>
          <w:rFonts w:ascii="Arial Narrow" w:hAnsi="Arial Narrow"/>
          <w:sz w:val="24"/>
          <w:szCs w:val="24"/>
          <w:lang w:val="es-SV"/>
        </w:rPr>
        <w:t xml:space="preserve">no ha realizado </w:t>
      </w:r>
      <w:r w:rsidR="001F466A" w:rsidRPr="00313669">
        <w:rPr>
          <w:rFonts w:ascii="Arial Narrow" w:hAnsi="Arial Narrow"/>
          <w:sz w:val="24"/>
          <w:szCs w:val="24"/>
          <w:lang w:val="es-SV"/>
        </w:rPr>
        <w:t>procesos de contratación durante el mes</w:t>
      </w:r>
      <w:r w:rsidR="001F466A" w:rsidRPr="00313669">
        <w:rPr>
          <w:rFonts w:ascii="Arial Narrow" w:hAnsi="Arial Narrow"/>
          <w:b/>
          <w:sz w:val="24"/>
          <w:szCs w:val="24"/>
          <w:lang w:val="es-SV"/>
        </w:rPr>
        <w:t xml:space="preserve"> </w:t>
      </w:r>
      <w:r w:rsidR="001F466A" w:rsidRPr="00313669">
        <w:rPr>
          <w:rFonts w:ascii="Arial Narrow" w:hAnsi="Arial Narrow"/>
          <w:sz w:val="24"/>
          <w:szCs w:val="24"/>
          <w:lang w:val="es-SV"/>
        </w:rPr>
        <w:t xml:space="preserve">de </w:t>
      </w:r>
      <w:r w:rsidR="0040359F" w:rsidRPr="00313669">
        <w:rPr>
          <w:rFonts w:ascii="Arial Narrow" w:hAnsi="Arial Narrow"/>
          <w:b/>
          <w:sz w:val="24"/>
          <w:szCs w:val="24"/>
          <w:lang w:val="es-SV"/>
        </w:rPr>
        <w:t>julio</w:t>
      </w:r>
      <w:r w:rsidR="001F466A" w:rsidRPr="00313669">
        <w:rPr>
          <w:rFonts w:ascii="Arial Narrow" w:hAnsi="Arial Narrow"/>
          <w:b/>
          <w:sz w:val="24"/>
          <w:szCs w:val="24"/>
          <w:lang w:val="es-SV"/>
        </w:rPr>
        <w:t xml:space="preserve"> 2021,</w:t>
      </w:r>
      <w:r w:rsidR="001F466A" w:rsidRPr="00313669">
        <w:rPr>
          <w:rFonts w:ascii="Arial Narrow" w:hAnsi="Arial Narrow"/>
          <w:sz w:val="24"/>
          <w:szCs w:val="24"/>
          <w:lang w:val="es-SV"/>
        </w:rPr>
        <w:t xml:space="preserve"> en c</w:t>
      </w:r>
      <w:r w:rsidR="00A42461" w:rsidRPr="00313669">
        <w:rPr>
          <w:rFonts w:ascii="Arial Narrow" w:hAnsi="Arial Narrow"/>
          <w:sz w:val="24"/>
          <w:szCs w:val="24"/>
          <w:lang w:val="es-SV"/>
        </w:rPr>
        <w:t>onsecuencia dicha información para ese mes es inexistente.</w:t>
      </w:r>
    </w:p>
    <w:p w:rsidR="003877E6" w:rsidRPr="00313669" w:rsidRDefault="003877E6" w:rsidP="001F466A">
      <w:pPr>
        <w:pStyle w:val="Prrafodelista"/>
        <w:numPr>
          <w:ilvl w:val="0"/>
          <w:numId w:val="1"/>
        </w:numPr>
        <w:spacing w:after="0" w:line="360" w:lineRule="auto"/>
        <w:ind w:right="14"/>
        <w:rPr>
          <w:rFonts w:ascii="Arial Narrow" w:hAnsi="Arial Narrow"/>
          <w:sz w:val="24"/>
          <w:szCs w:val="24"/>
          <w:lang w:val="es-SV"/>
        </w:rPr>
      </w:pPr>
      <w:r w:rsidRPr="00313669">
        <w:rPr>
          <w:rFonts w:ascii="Arial Narrow" w:hAnsi="Arial Narrow"/>
          <w:sz w:val="24"/>
          <w:szCs w:val="24"/>
          <w:lang w:val="es-SV"/>
        </w:rPr>
        <w:t xml:space="preserve"> En virtud de lo anterior, la Procuraduría para la Defensa de los Derechos Humanos no cuenta con información para publicar en este apartado, </w:t>
      </w:r>
      <w:r w:rsidR="001948B3" w:rsidRPr="00313669">
        <w:rPr>
          <w:rFonts w:ascii="Arial Narrow" w:hAnsi="Arial Narrow"/>
          <w:sz w:val="24"/>
          <w:szCs w:val="24"/>
          <w:lang w:val="es-SV"/>
        </w:rPr>
        <w:t xml:space="preserve">para el mes de </w:t>
      </w:r>
      <w:r w:rsidR="0040359F" w:rsidRPr="00313669">
        <w:rPr>
          <w:rFonts w:ascii="Arial Narrow" w:hAnsi="Arial Narrow"/>
          <w:b/>
          <w:sz w:val="24"/>
          <w:szCs w:val="24"/>
          <w:lang w:val="es-SV"/>
        </w:rPr>
        <w:t xml:space="preserve">julio </w:t>
      </w:r>
      <w:r w:rsidR="001948B3" w:rsidRPr="00313669">
        <w:rPr>
          <w:rFonts w:ascii="Arial Narrow" w:hAnsi="Arial Narrow"/>
          <w:b/>
          <w:sz w:val="24"/>
          <w:szCs w:val="24"/>
          <w:lang w:val="es-SV"/>
        </w:rPr>
        <w:t>de 2021</w:t>
      </w:r>
      <w:r w:rsidRPr="00313669">
        <w:rPr>
          <w:rFonts w:ascii="Arial Narrow" w:hAnsi="Arial Narrow"/>
          <w:b/>
          <w:sz w:val="24"/>
          <w:szCs w:val="24"/>
          <w:lang w:val="es-SV"/>
        </w:rPr>
        <w:t>.</w:t>
      </w:r>
    </w:p>
    <w:p w:rsidR="003877E6" w:rsidRPr="00313669" w:rsidRDefault="003877E6" w:rsidP="001F466A">
      <w:pPr>
        <w:pStyle w:val="Prrafodelista"/>
        <w:spacing w:after="0" w:line="360" w:lineRule="auto"/>
        <w:rPr>
          <w:rFonts w:ascii="Arial Narrow" w:hAnsi="Arial Narrow"/>
          <w:sz w:val="24"/>
          <w:szCs w:val="24"/>
          <w:lang w:val="es-SV"/>
        </w:rPr>
      </w:pPr>
    </w:p>
    <w:p w:rsidR="003877E6" w:rsidRPr="00313669" w:rsidRDefault="003877E6" w:rsidP="001F466A">
      <w:pPr>
        <w:pStyle w:val="Prrafodelista"/>
        <w:spacing w:after="0" w:line="360" w:lineRule="auto"/>
        <w:ind w:left="1080" w:right="14" w:firstLine="0"/>
        <w:rPr>
          <w:rFonts w:ascii="Arial Narrow" w:hAnsi="Arial Narrow"/>
          <w:sz w:val="24"/>
          <w:szCs w:val="24"/>
          <w:lang w:val="es-SV"/>
        </w:rPr>
      </w:pPr>
    </w:p>
    <w:p w:rsidR="003877E6" w:rsidRPr="00313669" w:rsidRDefault="003877E6" w:rsidP="001F466A">
      <w:pPr>
        <w:pStyle w:val="Prrafodelista"/>
        <w:spacing w:after="0" w:line="360" w:lineRule="auto"/>
        <w:ind w:left="1080" w:right="14" w:firstLine="0"/>
        <w:jc w:val="center"/>
        <w:rPr>
          <w:rFonts w:ascii="Arial Narrow" w:hAnsi="Arial Narrow"/>
          <w:sz w:val="24"/>
          <w:szCs w:val="24"/>
          <w:lang w:val="es-SV"/>
        </w:rPr>
      </w:pPr>
    </w:p>
    <w:p w:rsidR="002B37D4" w:rsidRPr="00313669" w:rsidRDefault="002B37D4" w:rsidP="001F466A">
      <w:pPr>
        <w:pStyle w:val="Prrafodelista"/>
        <w:spacing w:after="0" w:line="360" w:lineRule="auto"/>
        <w:ind w:left="1080" w:right="14" w:firstLine="0"/>
        <w:jc w:val="center"/>
        <w:rPr>
          <w:rFonts w:ascii="Arial Narrow" w:hAnsi="Arial Narrow"/>
          <w:sz w:val="24"/>
          <w:szCs w:val="24"/>
          <w:lang w:val="es-SV"/>
        </w:rPr>
      </w:pPr>
    </w:p>
    <w:p w:rsidR="003877E6" w:rsidRPr="00313669" w:rsidRDefault="003877E6" w:rsidP="001F466A">
      <w:pPr>
        <w:pStyle w:val="Prrafodelista"/>
        <w:spacing w:after="0" w:line="360" w:lineRule="auto"/>
        <w:ind w:left="1080" w:right="14" w:firstLine="0"/>
        <w:jc w:val="center"/>
        <w:rPr>
          <w:rFonts w:ascii="Arial Narrow" w:hAnsi="Arial Narrow"/>
          <w:sz w:val="24"/>
          <w:szCs w:val="24"/>
          <w:lang w:val="es-SV"/>
        </w:rPr>
      </w:pPr>
    </w:p>
    <w:p w:rsidR="003877E6" w:rsidRPr="00313669" w:rsidRDefault="002B37D4" w:rsidP="001F466A">
      <w:pPr>
        <w:pStyle w:val="Prrafodelista"/>
        <w:spacing w:after="0" w:line="360" w:lineRule="auto"/>
        <w:ind w:left="2496" w:right="14" w:firstLine="336"/>
        <w:jc w:val="center"/>
        <w:rPr>
          <w:rFonts w:ascii="Arial Narrow" w:hAnsi="Arial Narrow"/>
          <w:sz w:val="24"/>
          <w:szCs w:val="24"/>
          <w:lang w:val="es-SV"/>
        </w:rPr>
      </w:pPr>
      <w:r w:rsidRPr="00313669">
        <w:rPr>
          <w:rFonts w:ascii="Arial Narrow" w:hAnsi="Arial Narrow"/>
          <w:sz w:val="24"/>
          <w:szCs w:val="24"/>
          <w:lang w:val="es-SV"/>
        </w:rPr>
        <w:t xml:space="preserve">Licda. </w:t>
      </w:r>
      <w:r w:rsidR="00A42461" w:rsidRPr="00313669">
        <w:rPr>
          <w:rFonts w:ascii="Arial Narrow" w:hAnsi="Arial Narrow"/>
          <w:sz w:val="24"/>
          <w:szCs w:val="24"/>
          <w:lang w:val="es-SV"/>
        </w:rPr>
        <w:t>Yesica Concepción Sánchez López.</w:t>
      </w:r>
    </w:p>
    <w:p w:rsidR="003877E6" w:rsidRDefault="003877E6" w:rsidP="001F466A">
      <w:pPr>
        <w:pStyle w:val="Prrafodelista"/>
        <w:spacing w:after="0" w:line="360" w:lineRule="auto"/>
        <w:ind w:left="2496" w:right="14" w:firstLine="336"/>
        <w:jc w:val="center"/>
        <w:rPr>
          <w:rFonts w:ascii="Arial Narrow" w:hAnsi="Arial Narrow"/>
          <w:b/>
          <w:sz w:val="24"/>
          <w:szCs w:val="24"/>
          <w:lang w:val="es-SV"/>
        </w:rPr>
      </w:pPr>
      <w:r w:rsidRPr="00313669">
        <w:rPr>
          <w:rFonts w:ascii="Arial Narrow" w:hAnsi="Arial Narrow"/>
          <w:b/>
          <w:sz w:val="24"/>
          <w:szCs w:val="24"/>
          <w:lang w:val="es-SV"/>
        </w:rPr>
        <w:t>Oficial de Información</w:t>
      </w:r>
      <w:r w:rsidR="00A42461" w:rsidRPr="001F466A">
        <w:rPr>
          <w:rFonts w:ascii="Arial Narrow" w:hAnsi="Arial Narrow"/>
          <w:b/>
          <w:sz w:val="24"/>
          <w:szCs w:val="24"/>
          <w:lang w:val="es-SV"/>
        </w:rPr>
        <w:t>.</w:t>
      </w:r>
    </w:p>
    <w:sectPr w:rsidR="003877E6">
      <w:pgSz w:w="12240" w:h="15840"/>
      <w:pgMar w:top="1411" w:right="1607" w:bottom="1440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7A98"/>
    <w:multiLevelType w:val="hybridMultilevel"/>
    <w:tmpl w:val="27EA9F60"/>
    <w:lvl w:ilvl="0" w:tplc="0AE6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E6"/>
    <w:rsid w:val="000A7151"/>
    <w:rsid w:val="0016616A"/>
    <w:rsid w:val="001948B3"/>
    <w:rsid w:val="001F466A"/>
    <w:rsid w:val="002B37D4"/>
    <w:rsid w:val="00313669"/>
    <w:rsid w:val="003806CB"/>
    <w:rsid w:val="003877E6"/>
    <w:rsid w:val="0040359F"/>
    <w:rsid w:val="00553659"/>
    <w:rsid w:val="00776BE0"/>
    <w:rsid w:val="00A42461"/>
    <w:rsid w:val="00BC6ED8"/>
    <w:rsid w:val="00DA0AB5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AD192"/>
  <w15:chartTrackingRefBased/>
  <w15:docId w15:val="{FEA0381A-D2B7-429E-8112-647C271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E6"/>
    <w:pPr>
      <w:spacing w:after="245" w:line="272" w:lineRule="auto"/>
      <w:ind w:left="644" w:hanging="64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3</cp:revision>
  <dcterms:created xsi:type="dcterms:W3CDTF">2021-09-21T16:47:00Z</dcterms:created>
  <dcterms:modified xsi:type="dcterms:W3CDTF">2021-09-21T16:50:00Z</dcterms:modified>
</cp:coreProperties>
</file>