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F7" w:rsidRDefault="00EC41AB">
      <w:pPr>
        <w:spacing w:after="167" w:line="259" w:lineRule="auto"/>
        <w:ind w:left="46" w:right="0" w:firstLine="0"/>
        <w:jc w:val="center"/>
      </w:pPr>
      <w:r>
        <w:rPr>
          <w:noProof/>
        </w:rPr>
        <w:drawing>
          <wp:inline distT="0" distB="0" distL="0" distR="0">
            <wp:extent cx="800100" cy="943356"/>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5"/>
                    <a:stretch>
                      <a:fillRect/>
                    </a:stretch>
                  </pic:blipFill>
                  <pic:spPr>
                    <a:xfrm>
                      <a:off x="0" y="0"/>
                      <a:ext cx="800100" cy="943356"/>
                    </a:xfrm>
                    <a:prstGeom prst="rect">
                      <a:avLst/>
                    </a:prstGeom>
                  </pic:spPr>
                </pic:pic>
              </a:graphicData>
            </a:graphic>
          </wp:inline>
        </w:drawing>
      </w:r>
      <w:r>
        <w:t xml:space="preserve"> </w:t>
      </w:r>
    </w:p>
    <w:p w:rsidR="007663F7" w:rsidRDefault="00EC41AB">
      <w:pPr>
        <w:spacing w:after="14" w:line="259" w:lineRule="auto"/>
        <w:ind w:left="10" w:hanging="10"/>
        <w:jc w:val="center"/>
      </w:pPr>
      <w:r>
        <w:rPr>
          <w:b/>
        </w:rPr>
        <w:t xml:space="preserve">       </w:t>
      </w:r>
      <w:r>
        <w:t xml:space="preserve">PROCURADURÍA PARA LA DEFENSA DE LOS DERECHOS HUMANOS </w:t>
      </w:r>
    </w:p>
    <w:p w:rsidR="007663F7" w:rsidRDefault="00EC41AB">
      <w:pPr>
        <w:spacing w:after="206"/>
        <w:ind w:left="4429" w:right="1979"/>
      </w:pPr>
      <w:r>
        <w:t xml:space="preserve">UNIDAD DE ACCESO A LA INFORMACIÓN PÚBLICA </w:t>
      </w:r>
      <w:r>
        <w:rPr>
          <w:b/>
        </w:rPr>
        <w:t xml:space="preserve"> </w:t>
      </w:r>
    </w:p>
    <w:p w:rsidR="007663F7" w:rsidRDefault="009F349F">
      <w:pPr>
        <w:spacing w:after="208"/>
        <w:ind w:left="-15" w:right="0" w:firstLine="0"/>
      </w:pPr>
      <w:r>
        <w:t xml:space="preserve">San Salvador, 07 de mayo </w:t>
      </w:r>
      <w:r w:rsidR="00EC41AB">
        <w:t xml:space="preserve">de 2021. </w:t>
      </w:r>
    </w:p>
    <w:p w:rsidR="007663F7" w:rsidRDefault="00EC41AB">
      <w:pPr>
        <w:spacing w:after="244" w:line="259" w:lineRule="auto"/>
        <w:ind w:left="0" w:right="0" w:firstLine="0"/>
        <w:jc w:val="left"/>
      </w:pPr>
      <w:r>
        <w:t xml:space="preserve"> </w:t>
      </w:r>
    </w:p>
    <w:p w:rsidR="007663F7" w:rsidRDefault="00EC41AB">
      <w:pPr>
        <w:numPr>
          <w:ilvl w:val="0"/>
          <w:numId w:val="1"/>
        </w:numPr>
        <w:ind w:right="0" w:hanging="619"/>
      </w:pPr>
      <w:r>
        <w:t xml:space="preserve">El artículo 10 numeral 18 de la Ley de Acceso a la información Pública (en adelante LAIP) establece que los entes obligados deberán publicar, divulgar y actualizar los permisos, autorizaciones y concesiones otorgados, con especificación de sus titulares, montos, plazos, objeto y finalidad.  </w:t>
      </w:r>
    </w:p>
    <w:p w:rsidR="007663F7" w:rsidRDefault="00EC41AB">
      <w:pPr>
        <w:spacing w:after="44" w:line="259" w:lineRule="auto"/>
        <w:ind w:left="360" w:right="0" w:firstLine="0"/>
        <w:jc w:val="left"/>
      </w:pPr>
      <w:r>
        <w:t xml:space="preserve"> </w:t>
      </w:r>
    </w:p>
    <w:p w:rsidR="007663F7" w:rsidRDefault="00EC41AB">
      <w:pPr>
        <w:numPr>
          <w:ilvl w:val="0"/>
          <w:numId w:val="1"/>
        </w:numPr>
        <w:ind w:right="0" w:hanging="619"/>
      </w:pPr>
      <w:r>
        <w:t xml:space="preserve">De conformidad a lo dispuesto en los ordinales 1º y 2º del artículo 11 e inciso final del artículo 34 de la Ley de la Procuraduría para la Defensa de los Derechos Humanos es competencia de este ente obligado velar por la protección de los Derechos Humanos e investigar de oficio o por denuncia los casos de violaciones a derechos humanos.  </w:t>
      </w:r>
    </w:p>
    <w:p w:rsidR="007663F7" w:rsidRDefault="00EC41AB">
      <w:pPr>
        <w:spacing w:after="44" w:line="259" w:lineRule="auto"/>
        <w:ind w:left="0" w:right="0" w:firstLine="0"/>
        <w:jc w:val="left"/>
      </w:pPr>
      <w:r>
        <w:t xml:space="preserve"> </w:t>
      </w:r>
    </w:p>
    <w:p w:rsidR="007663F7" w:rsidRDefault="00EC41AB">
      <w:pPr>
        <w:numPr>
          <w:ilvl w:val="0"/>
          <w:numId w:val="1"/>
        </w:numPr>
        <w:ind w:right="0" w:hanging="619"/>
      </w:pPr>
      <w:r>
        <w:t xml:space="preserve">En virtud de lo anterior, la Procuraduría para la Defensa de los Derechos Humanos no cuenta con información para publicar en este apartado para el mes de </w:t>
      </w:r>
      <w:r w:rsidR="009F349F">
        <w:t xml:space="preserve">abril </w:t>
      </w:r>
      <w:r>
        <w:t xml:space="preserve">de 2021. </w:t>
      </w:r>
    </w:p>
    <w:p w:rsidR="007663F7" w:rsidRDefault="00EC41AB">
      <w:pPr>
        <w:spacing w:after="14" w:line="259" w:lineRule="auto"/>
        <w:ind w:left="0" w:right="0" w:firstLine="0"/>
        <w:jc w:val="left"/>
      </w:pPr>
      <w:r>
        <w:t xml:space="preserve"> </w:t>
      </w:r>
    </w:p>
    <w:p w:rsidR="007663F7" w:rsidRDefault="00EC41AB">
      <w:pPr>
        <w:spacing w:after="16" w:line="259" w:lineRule="auto"/>
        <w:ind w:left="0" w:right="0" w:firstLine="0"/>
        <w:jc w:val="left"/>
      </w:pPr>
      <w:r>
        <w:t xml:space="preserve"> </w:t>
      </w:r>
    </w:p>
    <w:p w:rsidR="007663F7" w:rsidRDefault="00EC41AB">
      <w:pPr>
        <w:spacing w:after="16" w:line="259" w:lineRule="auto"/>
        <w:ind w:left="0" w:right="0" w:firstLine="0"/>
        <w:jc w:val="left"/>
      </w:pPr>
      <w:r>
        <w:t xml:space="preserve"> </w:t>
      </w:r>
    </w:p>
    <w:p w:rsidR="007663F7" w:rsidRDefault="00EC41AB">
      <w:pPr>
        <w:spacing w:after="14" w:line="259" w:lineRule="auto"/>
        <w:ind w:left="0" w:right="0" w:firstLine="0"/>
        <w:jc w:val="left"/>
      </w:pPr>
      <w:r>
        <w:t xml:space="preserve"> </w:t>
      </w:r>
    </w:p>
    <w:p w:rsidR="007663F7" w:rsidRDefault="00EC41AB">
      <w:pPr>
        <w:spacing w:after="16" w:line="259" w:lineRule="auto"/>
        <w:ind w:left="0" w:right="0" w:firstLine="0"/>
        <w:jc w:val="left"/>
      </w:pPr>
      <w:r>
        <w:t xml:space="preserve"> </w:t>
      </w:r>
    </w:p>
    <w:p w:rsidR="007663F7" w:rsidRDefault="000206E9">
      <w:pPr>
        <w:spacing w:after="14" w:line="259" w:lineRule="auto"/>
        <w:ind w:left="10" w:right="1" w:hanging="10"/>
        <w:jc w:val="center"/>
      </w:pPr>
      <w:r>
        <w:t xml:space="preserve">Licda. </w:t>
      </w:r>
      <w:r w:rsidR="00EC41AB">
        <w:t xml:space="preserve">Yesica Concepción Sánchez López. </w:t>
      </w:r>
    </w:p>
    <w:p w:rsidR="007663F7" w:rsidRDefault="000206E9">
      <w:pPr>
        <w:spacing w:after="16" w:line="259" w:lineRule="auto"/>
        <w:ind w:left="0" w:right="1" w:firstLine="0"/>
        <w:jc w:val="center"/>
      </w:pPr>
      <w:r>
        <w:rPr>
          <w:b/>
        </w:rPr>
        <w:t>Oficial de Información</w:t>
      </w:r>
      <w:r w:rsidR="00EC41AB">
        <w:rPr>
          <w:b/>
        </w:rPr>
        <w:t xml:space="preserve">. </w:t>
      </w:r>
    </w:p>
    <w:p w:rsidR="007663F7" w:rsidRDefault="00EC41AB">
      <w:pPr>
        <w:spacing w:after="215" w:line="259" w:lineRule="auto"/>
        <w:ind w:left="0" w:right="294" w:firstLine="0"/>
        <w:jc w:val="center"/>
      </w:pPr>
      <w:r>
        <w:t xml:space="preserve"> </w:t>
      </w:r>
    </w:p>
    <w:p w:rsidR="007663F7" w:rsidRDefault="00EC41AB">
      <w:pPr>
        <w:spacing w:after="216" w:line="259" w:lineRule="auto"/>
        <w:ind w:left="0" w:right="0" w:firstLine="0"/>
        <w:jc w:val="left"/>
      </w:pPr>
      <w:r>
        <w:t xml:space="preserve"> </w:t>
      </w:r>
      <w:bookmarkStart w:id="0" w:name="_GoBack"/>
      <w:bookmarkEnd w:id="0"/>
    </w:p>
    <w:p w:rsidR="007663F7" w:rsidRDefault="00EC41AB">
      <w:pPr>
        <w:spacing w:after="215" w:line="259" w:lineRule="auto"/>
        <w:ind w:left="0" w:right="0" w:firstLine="0"/>
        <w:jc w:val="left"/>
      </w:pPr>
      <w:r>
        <w:t xml:space="preserve"> </w:t>
      </w:r>
    </w:p>
    <w:p w:rsidR="007663F7" w:rsidRDefault="00EC41AB">
      <w:pPr>
        <w:spacing w:after="215" w:line="259" w:lineRule="auto"/>
        <w:ind w:left="0" w:right="0" w:firstLine="0"/>
        <w:jc w:val="left"/>
      </w:pPr>
      <w:r>
        <w:t xml:space="preserve"> </w:t>
      </w:r>
    </w:p>
    <w:p w:rsidR="007663F7" w:rsidRDefault="00EC41AB">
      <w:pPr>
        <w:spacing w:after="215" w:line="259" w:lineRule="auto"/>
        <w:ind w:left="0" w:right="0" w:firstLine="0"/>
        <w:jc w:val="left"/>
      </w:pPr>
      <w:r>
        <w:t xml:space="preserve"> </w:t>
      </w:r>
    </w:p>
    <w:p w:rsidR="007663F7" w:rsidRDefault="00EC41AB">
      <w:pPr>
        <w:spacing w:after="0" w:line="259" w:lineRule="auto"/>
        <w:ind w:left="0" w:right="0" w:firstLine="0"/>
        <w:jc w:val="left"/>
      </w:pPr>
      <w:r>
        <w:rPr>
          <w:rFonts w:ascii="Calibri" w:eastAsia="Calibri" w:hAnsi="Calibri" w:cs="Calibri"/>
        </w:rPr>
        <w:t xml:space="preserve"> </w:t>
      </w:r>
    </w:p>
    <w:sectPr w:rsidR="007663F7">
      <w:pgSz w:w="12240" w:h="15840"/>
      <w:pgMar w:top="1416" w:right="1698"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B76C7"/>
    <w:multiLevelType w:val="hybridMultilevel"/>
    <w:tmpl w:val="E07474C4"/>
    <w:lvl w:ilvl="0" w:tplc="E684FBCC">
      <w:start w:val="1"/>
      <w:numFmt w:val="upperRoman"/>
      <w:lvlText w:val="%1."/>
      <w:lvlJc w:val="left"/>
      <w:pPr>
        <w:ind w:left="7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8C5962">
      <w:start w:val="1"/>
      <w:numFmt w:val="lowerLetter"/>
      <w:lvlText w:val="%2"/>
      <w:lvlJc w:val="left"/>
      <w:pPr>
        <w:ind w:left="1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FB29AD2">
      <w:start w:val="1"/>
      <w:numFmt w:val="lowerRoman"/>
      <w:lvlText w:val="%3"/>
      <w:lvlJc w:val="left"/>
      <w:pPr>
        <w:ind w:left="19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2000EA">
      <w:start w:val="1"/>
      <w:numFmt w:val="decimal"/>
      <w:lvlText w:val="%4"/>
      <w:lvlJc w:val="left"/>
      <w:pPr>
        <w:ind w:left="2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FFA0EF8">
      <w:start w:val="1"/>
      <w:numFmt w:val="lowerLetter"/>
      <w:lvlText w:val="%5"/>
      <w:lvlJc w:val="left"/>
      <w:pPr>
        <w:ind w:left="34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38A246C">
      <w:start w:val="1"/>
      <w:numFmt w:val="lowerRoman"/>
      <w:lvlText w:val="%6"/>
      <w:lvlJc w:val="left"/>
      <w:pPr>
        <w:ind w:left="41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462B1FC">
      <w:start w:val="1"/>
      <w:numFmt w:val="decimal"/>
      <w:lvlText w:val="%7"/>
      <w:lvlJc w:val="left"/>
      <w:pPr>
        <w:ind w:left="4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5A70AC">
      <w:start w:val="1"/>
      <w:numFmt w:val="lowerLetter"/>
      <w:lvlText w:val="%8"/>
      <w:lvlJc w:val="left"/>
      <w:pPr>
        <w:ind w:left="5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3A0E5E0">
      <w:start w:val="1"/>
      <w:numFmt w:val="lowerRoman"/>
      <w:lvlText w:val="%9"/>
      <w:lvlJc w:val="left"/>
      <w:pPr>
        <w:ind w:left="6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F7"/>
    <w:rsid w:val="000206E9"/>
    <w:rsid w:val="007663F7"/>
    <w:rsid w:val="009F349F"/>
    <w:rsid w:val="00EC41A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C3F2"/>
  <w15:docId w15:val="{85C02052-4E9D-45CC-9B67-CB5EC6FD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67" w:lineRule="auto"/>
      <w:ind w:left="2406" w:right="3" w:hanging="2406"/>
      <w:jc w:val="both"/>
    </w:pPr>
    <w:rPr>
      <w:rFonts w:ascii="Cambria" w:eastAsia="Cambria" w:hAnsi="Cambria" w:cs="Cambria"/>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Patricia Corado de Escobar</dc:creator>
  <cp:keywords/>
  <cp:lastModifiedBy>Yesica Sanchez</cp:lastModifiedBy>
  <cp:revision>2</cp:revision>
  <cp:lastPrinted>2021-03-02T20:57:00Z</cp:lastPrinted>
  <dcterms:created xsi:type="dcterms:W3CDTF">2021-05-05T14:06:00Z</dcterms:created>
  <dcterms:modified xsi:type="dcterms:W3CDTF">2021-05-05T14:06:00Z</dcterms:modified>
</cp:coreProperties>
</file>