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3F6" w:rsidRPr="00224C54" w:rsidRDefault="001713F6" w:rsidP="001713F6">
      <w:pPr>
        <w:spacing w:line="257" w:lineRule="auto"/>
        <w:contextualSpacing/>
        <w:jc w:val="center"/>
        <w:rPr>
          <w:rFonts w:ascii="Times New Roman" w:hAnsi="Times New Roman" w:cs="Times New Roman"/>
        </w:rPr>
      </w:pPr>
      <w:r w:rsidRPr="00224C54">
        <w:rPr>
          <w:rFonts w:ascii="Times New Roman" w:hAnsi="Times New Roman" w:cs="Times New Roman"/>
          <w:noProof/>
          <w:lang w:eastAsia="es-SV"/>
        </w:rPr>
        <w:drawing>
          <wp:inline distT="0" distB="0" distL="0" distR="0" wp14:anchorId="6694D068" wp14:editId="760C048E">
            <wp:extent cx="917762" cy="1200150"/>
            <wp:effectExtent l="0" t="0" r="0" b="0"/>
            <wp:docPr id="1" name="Imagen 1" descr="logo_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H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9581" cy="1202529"/>
                    </a:xfrm>
                    <a:prstGeom prst="rect">
                      <a:avLst/>
                    </a:prstGeom>
                    <a:noFill/>
                    <a:ln>
                      <a:noFill/>
                    </a:ln>
                  </pic:spPr>
                </pic:pic>
              </a:graphicData>
            </a:graphic>
          </wp:inline>
        </w:drawing>
      </w:r>
    </w:p>
    <w:p w:rsidR="001713F6" w:rsidRPr="00224C54" w:rsidRDefault="001713F6" w:rsidP="001713F6">
      <w:pPr>
        <w:spacing w:line="257" w:lineRule="auto"/>
        <w:contextualSpacing/>
        <w:jc w:val="center"/>
        <w:rPr>
          <w:rFonts w:ascii="Times New Roman" w:hAnsi="Times New Roman" w:cs="Times New Roman"/>
          <w:b/>
        </w:rPr>
      </w:pPr>
    </w:p>
    <w:p w:rsidR="001713F6" w:rsidRPr="00224C54" w:rsidRDefault="001713F6" w:rsidP="001713F6">
      <w:pPr>
        <w:spacing w:line="257" w:lineRule="auto"/>
        <w:contextualSpacing/>
        <w:jc w:val="center"/>
        <w:rPr>
          <w:rFonts w:ascii="Times New Roman" w:hAnsi="Times New Roman" w:cs="Times New Roman"/>
        </w:rPr>
      </w:pPr>
      <w:r w:rsidRPr="00224C54">
        <w:rPr>
          <w:rFonts w:ascii="Times New Roman" w:hAnsi="Times New Roman" w:cs="Times New Roman"/>
        </w:rPr>
        <w:t>PROCURADURÍA PARA LA DEFENSA DE LOS DERECHOS HUMANOS</w:t>
      </w:r>
    </w:p>
    <w:p w:rsidR="001713F6" w:rsidRPr="00224C54" w:rsidRDefault="001713F6" w:rsidP="001713F6">
      <w:pPr>
        <w:spacing w:line="257" w:lineRule="auto"/>
        <w:contextualSpacing/>
        <w:jc w:val="center"/>
        <w:rPr>
          <w:rFonts w:ascii="Times New Roman" w:hAnsi="Times New Roman" w:cs="Times New Roman"/>
        </w:rPr>
      </w:pPr>
      <w:r w:rsidRPr="00224C54">
        <w:rPr>
          <w:rFonts w:ascii="Times New Roman" w:hAnsi="Times New Roman" w:cs="Times New Roman"/>
        </w:rPr>
        <w:t>UNIDAD DE ACCESO A LA INFORMACIÓN PÚBLICA</w:t>
      </w:r>
    </w:p>
    <w:p w:rsidR="001713F6" w:rsidRPr="00224C54" w:rsidRDefault="001713F6" w:rsidP="001713F6">
      <w:pPr>
        <w:spacing w:line="276" w:lineRule="auto"/>
        <w:rPr>
          <w:rFonts w:ascii="Times New Roman" w:hAnsi="Times New Roman" w:cs="Times New Roman"/>
        </w:rPr>
      </w:pPr>
    </w:p>
    <w:p w:rsidR="001713F6" w:rsidRPr="00224C54" w:rsidRDefault="001713F6" w:rsidP="001713F6">
      <w:pPr>
        <w:spacing w:line="276" w:lineRule="auto"/>
        <w:rPr>
          <w:rFonts w:ascii="Times New Roman" w:hAnsi="Times New Roman" w:cs="Times New Roman"/>
        </w:rPr>
      </w:pPr>
      <w:r>
        <w:rPr>
          <w:rFonts w:ascii="Times New Roman" w:hAnsi="Times New Roman" w:cs="Times New Roman"/>
        </w:rPr>
        <w:t>San Salvador, 30 de septiembre</w:t>
      </w:r>
      <w:r>
        <w:rPr>
          <w:rFonts w:ascii="Times New Roman" w:hAnsi="Times New Roman" w:cs="Times New Roman"/>
        </w:rPr>
        <w:t xml:space="preserve"> de 2019</w:t>
      </w:r>
    </w:p>
    <w:p w:rsidR="001713F6" w:rsidRPr="00224C54" w:rsidRDefault="001713F6" w:rsidP="001713F6">
      <w:pPr>
        <w:spacing w:line="276" w:lineRule="auto"/>
        <w:rPr>
          <w:rFonts w:ascii="Times New Roman" w:hAnsi="Times New Roman" w:cs="Times New Roman"/>
        </w:rPr>
      </w:pPr>
    </w:p>
    <w:p w:rsidR="001713F6" w:rsidRPr="00224C54" w:rsidRDefault="001713F6" w:rsidP="001713F6">
      <w:pPr>
        <w:pStyle w:val="Prrafodelista"/>
        <w:numPr>
          <w:ilvl w:val="0"/>
          <w:numId w:val="1"/>
        </w:numPr>
        <w:spacing w:line="276" w:lineRule="auto"/>
        <w:jc w:val="both"/>
        <w:rPr>
          <w:rFonts w:ascii="Times New Roman" w:hAnsi="Times New Roman" w:cs="Times New Roman"/>
          <w:b/>
        </w:rPr>
      </w:pPr>
      <w:r w:rsidRPr="00224C54">
        <w:rPr>
          <w:rFonts w:ascii="Times New Roman" w:hAnsi="Times New Roman" w:cs="Times New Roman"/>
        </w:rPr>
        <w:t xml:space="preserve">El artículo 10 numeral 24 de la Ley de Acceso a la información Pública (en adelante LAIP) establece que los organismos de control del Estado deberán publicar el texto íntegro de sus resoluciones ejecutoriadas, con el detalle de nombre de las partes involucradas, fecha de la resolución, un breve resumen del caso, y un enlace que dirija al texto de la resolución. </w:t>
      </w:r>
    </w:p>
    <w:p w:rsidR="001713F6" w:rsidRPr="00224C54" w:rsidRDefault="001713F6" w:rsidP="001713F6">
      <w:pPr>
        <w:pStyle w:val="Prrafodelista"/>
        <w:spacing w:line="276" w:lineRule="auto"/>
        <w:jc w:val="both"/>
        <w:rPr>
          <w:rFonts w:ascii="Times New Roman" w:hAnsi="Times New Roman" w:cs="Times New Roman"/>
          <w:b/>
        </w:rPr>
      </w:pPr>
    </w:p>
    <w:p w:rsidR="001713F6" w:rsidRPr="00224C54" w:rsidRDefault="001713F6" w:rsidP="001713F6">
      <w:pPr>
        <w:pStyle w:val="Prrafodelista"/>
        <w:numPr>
          <w:ilvl w:val="0"/>
          <w:numId w:val="1"/>
        </w:numPr>
        <w:spacing w:line="276" w:lineRule="auto"/>
        <w:jc w:val="both"/>
        <w:rPr>
          <w:rFonts w:ascii="Times New Roman" w:hAnsi="Times New Roman" w:cs="Times New Roman"/>
          <w:b/>
        </w:rPr>
      </w:pPr>
      <w:r w:rsidRPr="00224C54">
        <w:rPr>
          <w:rFonts w:ascii="Times New Roman" w:hAnsi="Times New Roman" w:cs="Times New Roman"/>
        </w:rPr>
        <w:t>Los procedimientos de la Procuraduría derivados del ejercicio del mandato constitucional de velar por el respeto y garantía de los derechos humanos, y supervisar la actuación de la Administración Pública, no son estrictamente procedimientos administrativos y tampoco las resoluciones son coercitivas ni imponen sanciones, sino que constituyen pronunciamientos declarativos de responsabilidad por violaciones a derechos humanos con sus respectivas recomendaciones a las cuales se da seguimiento; de ahí que no son ejecutivas ni causan estado o pasan por autoridad de cosa juzgada.</w:t>
      </w:r>
    </w:p>
    <w:p w:rsidR="001713F6" w:rsidRPr="00224C54" w:rsidRDefault="001713F6" w:rsidP="001713F6">
      <w:pPr>
        <w:pStyle w:val="Prrafodelista"/>
        <w:spacing w:line="276" w:lineRule="auto"/>
        <w:jc w:val="both"/>
        <w:rPr>
          <w:rFonts w:ascii="Times New Roman" w:hAnsi="Times New Roman" w:cs="Times New Roman"/>
          <w:b/>
        </w:rPr>
      </w:pPr>
    </w:p>
    <w:p w:rsidR="001713F6" w:rsidRPr="00224C54" w:rsidRDefault="001713F6" w:rsidP="001713F6">
      <w:pPr>
        <w:pStyle w:val="Prrafodelista"/>
        <w:numPr>
          <w:ilvl w:val="0"/>
          <w:numId w:val="1"/>
        </w:numPr>
        <w:spacing w:line="276" w:lineRule="auto"/>
        <w:jc w:val="both"/>
        <w:rPr>
          <w:rFonts w:ascii="Times New Roman" w:hAnsi="Times New Roman" w:cs="Times New Roman"/>
        </w:rPr>
      </w:pPr>
      <w:r w:rsidRPr="00224C54">
        <w:rPr>
          <w:rFonts w:ascii="Times New Roman" w:hAnsi="Times New Roman" w:cs="Times New Roman"/>
        </w:rPr>
        <w:t xml:space="preserve">Aunado a lo anterior, cabe señalar que los ordinales 1º y 2º del articulo 11 y el inciso final del artículo 34 de la Ley de la Procuraduría para la Defensa de los Derechos Humanos señalan que en los casos de violaciones derechos humanos –de oficio o por denuncia- este ente obligado deberá guardar la </w:t>
      </w:r>
      <w:r w:rsidRPr="00224C54">
        <w:rPr>
          <w:rFonts w:ascii="Times New Roman" w:hAnsi="Times New Roman" w:cs="Times New Roman"/>
          <w:i/>
        </w:rPr>
        <w:t>confidencialida</w:t>
      </w:r>
      <w:r w:rsidRPr="00224C54">
        <w:rPr>
          <w:rFonts w:ascii="Times New Roman" w:hAnsi="Times New Roman" w:cs="Times New Roman"/>
        </w:rPr>
        <w:t>d sobre el denunciante, los hechos investigados y su autodeterminación informativa.</w:t>
      </w:r>
    </w:p>
    <w:p w:rsidR="001713F6" w:rsidRPr="00224C54" w:rsidRDefault="001713F6" w:rsidP="001713F6">
      <w:pPr>
        <w:pStyle w:val="Prrafodelista"/>
        <w:spacing w:line="276" w:lineRule="auto"/>
        <w:rPr>
          <w:rFonts w:ascii="Times New Roman" w:hAnsi="Times New Roman" w:cs="Times New Roman"/>
        </w:rPr>
      </w:pPr>
    </w:p>
    <w:p w:rsidR="001713F6" w:rsidRPr="00224C54" w:rsidRDefault="001713F6" w:rsidP="001713F6">
      <w:pPr>
        <w:pStyle w:val="Prrafodelista"/>
        <w:numPr>
          <w:ilvl w:val="0"/>
          <w:numId w:val="1"/>
        </w:numPr>
        <w:spacing w:line="276" w:lineRule="auto"/>
        <w:jc w:val="both"/>
        <w:rPr>
          <w:rFonts w:ascii="Times New Roman" w:hAnsi="Times New Roman" w:cs="Times New Roman"/>
        </w:rPr>
      </w:pPr>
      <w:r w:rsidRPr="00224C54">
        <w:rPr>
          <w:rFonts w:ascii="Times New Roman" w:hAnsi="Times New Roman" w:cs="Times New Roman"/>
        </w:rPr>
        <w:t xml:space="preserve">Con los elementos acotados, se estima que las resoluciones emitidas por esta Procuraduría en los procedimientos que versen o afecten la esfera de derechos de las personas sobre las cuales haya una afectación a sus derechos humanos tienen el carácter de confidencial; puesto que todos o una parte de sus elementos permiten identificar o hacer identificable al sujeto denunciante y los hechos denunciados una circunstancia particular de lesión al honor, a la imagen, o, en general, a la autodeterminación informativa de tales sujetos. Por ello, a pesar de la obligación dispuesta en el artículo 30de la Ley de Acceso a la Información Pública, no es factible elaborar una versión pública de tales documentos sin afectar frontalmente los derechos de los denunciantes. </w:t>
      </w:r>
    </w:p>
    <w:p w:rsidR="001713F6" w:rsidRPr="00224C54" w:rsidRDefault="001713F6" w:rsidP="001713F6">
      <w:pPr>
        <w:pStyle w:val="Prrafodelista"/>
        <w:rPr>
          <w:rFonts w:ascii="Times New Roman" w:hAnsi="Times New Roman" w:cs="Times New Roman"/>
        </w:rPr>
      </w:pPr>
    </w:p>
    <w:p w:rsidR="001713F6" w:rsidRPr="00224C54" w:rsidRDefault="001713F6" w:rsidP="001713F6">
      <w:pPr>
        <w:pStyle w:val="Prrafodelista"/>
        <w:numPr>
          <w:ilvl w:val="0"/>
          <w:numId w:val="1"/>
        </w:numPr>
        <w:spacing w:line="276" w:lineRule="auto"/>
        <w:jc w:val="both"/>
        <w:rPr>
          <w:rFonts w:ascii="Times New Roman" w:hAnsi="Times New Roman" w:cs="Times New Roman"/>
        </w:rPr>
      </w:pPr>
      <w:r w:rsidRPr="00224C54">
        <w:rPr>
          <w:rFonts w:ascii="Times New Roman" w:hAnsi="Times New Roman" w:cs="Times New Roman"/>
        </w:rPr>
        <w:lastRenderedPageBreak/>
        <w:t>De ahí que, la Procuraduría para la Defensa de los Derechos Humanos no cuenta con información para pub</w:t>
      </w:r>
      <w:r>
        <w:rPr>
          <w:rFonts w:ascii="Times New Roman" w:hAnsi="Times New Roman" w:cs="Times New Roman"/>
        </w:rPr>
        <w:t>licar en este</w:t>
      </w:r>
      <w:r>
        <w:rPr>
          <w:rFonts w:ascii="Times New Roman" w:hAnsi="Times New Roman" w:cs="Times New Roman"/>
        </w:rPr>
        <w:t xml:space="preserve"> apartado, para el mes de septiembre </w:t>
      </w:r>
      <w:bookmarkStart w:id="0" w:name="_GoBack"/>
      <w:bookmarkEnd w:id="0"/>
      <w:r>
        <w:rPr>
          <w:rFonts w:ascii="Times New Roman" w:hAnsi="Times New Roman" w:cs="Times New Roman"/>
        </w:rPr>
        <w:t>de 2019</w:t>
      </w:r>
      <w:r w:rsidRPr="00224C54">
        <w:rPr>
          <w:rFonts w:ascii="Times New Roman" w:hAnsi="Times New Roman" w:cs="Times New Roman"/>
        </w:rPr>
        <w:t>.</w:t>
      </w:r>
    </w:p>
    <w:p w:rsidR="001713F6" w:rsidRPr="00224C54" w:rsidRDefault="001713F6" w:rsidP="001713F6">
      <w:pPr>
        <w:spacing w:line="276" w:lineRule="auto"/>
        <w:jc w:val="center"/>
        <w:rPr>
          <w:rFonts w:ascii="Times New Roman" w:hAnsi="Times New Roman" w:cs="Times New Roman"/>
        </w:rPr>
      </w:pPr>
    </w:p>
    <w:p w:rsidR="001713F6" w:rsidRPr="00224C54" w:rsidRDefault="001713F6" w:rsidP="001713F6">
      <w:pPr>
        <w:spacing w:line="276" w:lineRule="auto"/>
        <w:jc w:val="center"/>
        <w:rPr>
          <w:rFonts w:ascii="Times New Roman" w:hAnsi="Times New Roman" w:cs="Times New Roman"/>
        </w:rPr>
      </w:pPr>
    </w:p>
    <w:p w:rsidR="001713F6" w:rsidRPr="00224C54" w:rsidRDefault="001713F6" w:rsidP="001713F6">
      <w:pPr>
        <w:spacing w:line="276" w:lineRule="auto"/>
        <w:contextualSpacing/>
        <w:jc w:val="center"/>
        <w:rPr>
          <w:rFonts w:ascii="Times New Roman" w:hAnsi="Times New Roman" w:cs="Times New Roman"/>
        </w:rPr>
      </w:pPr>
      <w:r w:rsidRPr="00224C54">
        <w:rPr>
          <w:rFonts w:ascii="Times New Roman" w:hAnsi="Times New Roman" w:cs="Times New Roman"/>
        </w:rPr>
        <w:t>Mirna Patricia Corado de Escobar</w:t>
      </w:r>
    </w:p>
    <w:p w:rsidR="001713F6" w:rsidRPr="00224C54" w:rsidRDefault="001713F6" w:rsidP="001713F6">
      <w:pPr>
        <w:spacing w:line="276" w:lineRule="auto"/>
        <w:contextualSpacing/>
        <w:jc w:val="center"/>
        <w:rPr>
          <w:rFonts w:ascii="Times New Roman" w:hAnsi="Times New Roman" w:cs="Times New Roman"/>
        </w:rPr>
      </w:pPr>
      <w:r w:rsidRPr="00224C54">
        <w:rPr>
          <w:rFonts w:ascii="Times New Roman" w:hAnsi="Times New Roman" w:cs="Times New Roman"/>
          <w:b/>
        </w:rPr>
        <w:t>Oficial de Información</w:t>
      </w:r>
    </w:p>
    <w:p w:rsidR="001713F6" w:rsidRPr="00224C54" w:rsidRDefault="001713F6" w:rsidP="001713F6">
      <w:pPr>
        <w:rPr>
          <w:rFonts w:ascii="Times New Roman" w:hAnsi="Times New Roman" w:cs="Times New Roman"/>
        </w:rPr>
      </w:pPr>
    </w:p>
    <w:p w:rsidR="001713F6" w:rsidRPr="00224C54" w:rsidRDefault="001713F6" w:rsidP="001713F6">
      <w:pPr>
        <w:rPr>
          <w:rFonts w:ascii="Times New Roman" w:hAnsi="Times New Roman" w:cs="Times New Roman"/>
        </w:rPr>
      </w:pPr>
    </w:p>
    <w:p w:rsidR="001713F6" w:rsidRDefault="001713F6" w:rsidP="001713F6"/>
    <w:p w:rsidR="00B67CCE" w:rsidRDefault="00B67CCE"/>
    <w:sectPr w:rsidR="00B67CC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AB1A3F"/>
    <w:multiLevelType w:val="hybridMultilevel"/>
    <w:tmpl w:val="25E06D7E"/>
    <w:lvl w:ilvl="0" w:tplc="440A0013">
      <w:start w:val="1"/>
      <w:numFmt w:val="upperRoman"/>
      <w:lvlText w:val="%1."/>
      <w:lvlJc w:val="righ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3F6"/>
    <w:rsid w:val="001713F6"/>
    <w:rsid w:val="00B67CC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A33D5"/>
  <w15:chartTrackingRefBased/>
  <w15:docId w15:val="{D45F52CC-8DC0-460B-83A1-C16C0AED0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3F6"/>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713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398</Words>
  <Characters>2078</Characters>
  <Application>Microsoft Office Word</Application>
  <DocSecurity>0</DocSecurity>
  <Lines>50</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Propietario</cp:lastModifiedBy>
  <cp:revision>1</cp:revision>
  <dcterms:created xsi:type="dcterms:W3CDTF">2020-07-21T23:30:00Z</dcterms:created>
  <dcterms:modified xsi:type="dcterms:W3CDTF">2020-07-21T23:32:00Z</dcterms:modified>
</cp:coreProperties>
</file>